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2874" w14:textId="1AB92E3C" w:rsidR="00AC5231" w:rsidRPr="0034521C" w:rsidRDefault="00CC1EB1" w:rsidP="007264CA">
      <w:pPr>
        <w:spacing w:after="120" w:line="336" w:lineRule="auto"/>
        <w:rPr>
          <w:rFonts w:cs="Times New Roman"/>
          <w:b/>
          <w:bCs/>
          <w:sz w:val="28"/>
          <w:szCs w:val="28"/>
          <w:lang w:val="en-US"/>
        </w:rPr>
      </w:pPr>
      <w:r w:rsidRPr="0034521C">
        <w:rPr>
          <w:rFonts w:cs="Times New Roman"/>
          <w:b/>
          <w:bCs/>
          <w:sz w:val="28"/>
          <w:szCs w:val="28"/>
          <w:lang w:val="en-US"/>
        </w:rPr>
        <w:t xml:space="preserve">Boosting </w:t>
      </w:r>
      <w:proofErr w:type="gramStart"/>
      <w:r w:rsidR="0034521C">
        <w:rPr>
          <w:rFonts w:cs="Times New Roman"/>
          <w:b/>
          <w:bCs/>
          <w:sz w:val="28"/>
          <w:szCs w:val="28"/>
          <w:lang w:val="en-US"/>
        </w:rPr>
        <w:t>t</w:t>
      </w:r>
      <w:r w:rsidRPr="0034521C">
        <w:rPr>
          <w:rFonts w:cs="Times New Roman"/>
          <w:b/>
          <w:bCs/>
          <w:sz w:val="28"/>
          <w:szCs w:val="28"/>
          <w:lang w:val="en-US"/>
        </w:rPr>
        <w:t>he Power</w:t>
      </w:r>
      <w:proofErr w:type="gramEnd"/>
      <w:r w:rsidRPr="0034521C">
        <w:rPr>
          <w:rFonts w:cs="Times New Roman"/>
          <w:b/>
          <w:bCs/>
          <w:sz w:val="28"/>
          <w:szCs w:val="28"/>
          <w:lang w:val="en-US"/>
        </w:rPr>
        <w:t xml:space="preserve"> Grid Resilience to Extreme Weather Events Using Defensive Islanding</w:t>
      </w:r>
    </w:p>
    <w:p w14:paraId="0666C293" w14:textId="77777777" w:rsidR="00CC1EB1" w:rsidRPr="0034521C" w:rsidRDefault="00CC1EB1" w:rsidP="007264CA">
      <w:pPr>
        <w:spacing w:after="120" w:line="336" w:lineRule="auto"/>
        <w:rPr>
          <w:rFonts w:cs="Times New Roman"/>
          <w:lang w:val="en-US"/>
        </w:rPr>
      </w:pPr>
    </w:p>
    <w:p w14:paraId="34B60BE3" w14:textId="77777777" w:rsidR="00743B6C" w:rsidRPr="00743B6C" w:rsidRDefault="00743B6C" w:rsidP="007264C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1. Objetivo e posicionamento científico</w:t>
      </w:r>
    </w:p>
    <w:p w14:paraId="46F2C421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Este artigo propõe um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framework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completo para avaliar e aumentar a resiliência de sistemas de transmissão sob eventos climáticos extremos, integrando modelação climática, fragilidade de componentes, avaliação de risco e uma ação operacional preventiva (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defensive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islanding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6A5AF676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É um dos trabalhos mais completos e maduros da literatura até 2016, combinando:</w:t>
      </w:r>
    </w:p>
    <w:p w14:paraId="3EADE9DB" w14:textId="77777777" w:rsidR="00743B6C" w:rsidRPr="00743B6C" w:rsidRDefault="00743B6C" w:rsidP="007264C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resiliência como conceito temporal;</w:t>
      </w:r>
    </w:p>
    <w:p w14:paraId="30F139FF" w14:textId="77777777" w:rsidR="00743B6C" w:rsidRPr="00743B6C" w:rsidRDefault="00743B6C" w:rsidP="007264C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modelação probabilística dependente do clima;</w:t>
      </w:r>
    </w:p>
    <w:p w14:paraId="314AB165" w14:textId="77777777" w:rsidR="00743B6C" w:rsidRPr="00743B6C" w:rsidRDefault="00743B6C" w:rsidP="007264C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avaliação de cascatas;</w:t>
      </w:r>
    </w:p>
    <w:p w14:paraId="19844DA7" w14:textId="77777777" w:rsidR="00743B6C" w:rsidRPr="00743B6C" w:rsidRDefault="00743B6C" w:rsidP="007264CA">
      <w:pPr>
        <w:numPr>
          <w:ilvl w:val="0"/>
          <w:numId w:val="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medidas operacionais concretas.</w:t>
      </w:r>
    </w:p>
    <w:p w14:paraId="03A3D0F8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Para uma tese sobre resiliência de linhas de transmissão, este artigo é central.</w:t>
      </w:r>
    </w:p>
    <w:p w14:paraId="3E9470A4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3584F8CE">
          <v:rect id="_x0000_i1102" style="width:0;height:1.5pt" o:hralign="center" o:hrstd="t" o:hr="t" fillcolor="#a0a0a0" stroked="f"/>
        </w:pict>
      </w:r>
    </w:p>
    <w:p w14:paraId="5FB22668" w14:textId="77777777" w:rsidR="00743B6C" w:rsidRPr="00743B6C" w:rsidRDefault="00743B6C" w:rsidP="007264C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2. Contribuições técnicas essenciais (diretamente alinhadas à sua tese)</w:t>
      </w:r>
    </w:p>
    <w:p w14:paraId="50785406" w14:textId="77777777" w:rsidR="00743B6C" w:rsidRPr="00743B6C" w:rsidRDefault="00743B6C" w:rsidP="007264C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2.1 Uso explícito de curvas de fragilidade para linhas e torres</w:t>
      </w:r>
    </w:p>
    <w:p w14:paraId="333C47C4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 artigo modela a probabilidade de falha de corredores de transmissão como função da intensidade do vento:</w:t>
      </w:r>
    </w:p>
    <w:p w14:paraId="2A99FF06" w14:textId="3CEA84F4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br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(w)=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br,B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(w)+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br,T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(w)-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br,B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(w)</m:t>
          </m:r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br,T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(w)</m:t>
          </m:r>
          <m:r>
            <w:rPr>
              <w:rFonts w:eastAsia="Times New Roman" w:cs="Times New Roman"/>
              <w:i/>
              <w:kern w:val="0"/>
              <w:lang w:eastAsia="pt-PT"/>
              <w14:ligatures w14:val="none"/>
            </w:rPr>
            <w:br/>
          </m:r>
        </m:oMath>
      </m:oMathPara>
    </w:p>
    <w:p w14:paraId="70D95455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onde:</w:t>
      </w:r>
    </w:p>
    <w:p w14:paraId="5C8521D6" w14:textId="3DFAE88F" w:rsidR="00743B6C" w:rsidRPr="00743B6C" w:rsidRDefault="00743B6C" w:rsidP="007264CA">
      <w:pPr>
        <w:numPr>
          <w:ilvl w:val="0"/>
          <w:numId w:val="2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br,B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(w)</m:t>
        </m:r>
      </m:oMath>
      <w:r w:rsidRPr="00743B6C">
        <w:rPr>
          <w:rFonts w:eastAsia="Times New Roman" w:cs="Times New Roman"/>
          <w:kern w:val="0"/>
          <w:lang w:eastAsia="pt-PT"/>
          <w14:ligatures w14:val="none"/>
        </w:rPr>
        <w:t>→ falha do condutor/linha;</w:t>
      </w:r>
    </w:p>
    <w:p w14:paraId="7A6FEA60" w14:textId="10F517E4" w:rsidR="00743B6C" w:rsidRPr="00743B6C" w:rsidRDefault="00743B6C" w:rsidP="007264CA">
      <w:pPr>
        <w:numPr>
          <w:ilvl w:val="0"/>
          <w:numId w:val="2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br,T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(w)</m:t>
        </m:r>
      </m:oMath>
      <w:r w:rsidRPr="00743B6C">
        <w:rPr>
          <w:rFonts w:eastAsia="Times New Roman" w:cs="Times New Roman"/>
          <w:kern w:val="0"/>
          <w:lang w:eastAsia="pt-PT"/>
          <w14:ligatures w14:val="none"/>
        </w:rPr>
        <w:t>→ colapso de torres (modelado com múltiplas torres por corredor).</w:t>
      </w:r>
    </w:p>
    <w:p w14:paraId="327F6AB3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Este tratamento é diretamente reutilizável para a componente estrutural/climática do seu índice de resiliência por linha.</w:t>
      </w:r>
    </w:p>
    <w:p w14:paraId="5D2D1863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4949BAB9">
          <v:rect id="_x0000_i1103" style="width:0;height:1.5pt" o:hralign="center" o:hrstd="t" o:hr="t" fillcolor="#a0a0a0" stroked="f"/>
        </w:pict>
      </w:r>
    </w:p>
    <w:p w14:paraId="260D731F" w14:textId="77777777" w:rsidR="00743B6C" w:rsidRPr="00743B6C" w:rsidRDefault="00743B6C" w:rsidP="007264C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2.2 Resiliência como processo temporal (curva R(t))</w:t>
      </w:r>
    </w:p>
    <w:p w14:paraId="6D0627FA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 Figura 1 apresenta a curva conceitual de resiliência:</w:t>
      </w:r>
    </w:p>
    <w:p w14:paraId="2038991C" w14:textId="5EDE6B62" w:rsidR="00743B6C" w:rsidRPr="00743B6C" w:rsidRDefault="00743B6C" w:rsidP="007264C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níveis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pr</m:t>
            </m:r>
          </m:sub>
        </m:sSub>
      </m:oMath>
      <w:r w:rsidRPr="00743B6C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3656813E" w14:textId="77777777" w:rsidR="00743B6C" w:rsidRPr="00743B6C" w:rsidRDefault="00743B6C" w:rsidP="007264C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distinção entre resiliência operacional e resiliência da infraestrutura;</w:t>
      </w:r>
    </w:p>
    <w:p w14:paraId="2FA8F899" w14:textId="77777777" w:rsidR="00743B6C" w:rsidRPr="00743B6C" w:rsidRDefault="00743B6C" w:rsidP="007264CA">
      <w:pPr>
        <w:numPr>
          <w:ilvl w:val="0"/>
          <w:numId w:val="3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lastRenderedPageBreak/>
        <w:t>separação clara entre impacto, resposta, recuperação e restauração completa.</w:t>
      </w:r>
    </w:p>
    <w:p w14:paraId="0055CD98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Este enquadramento:</w:t>
      </w:r>
    </w:p>
    <w:p w14:paraId="76BCE2AF" w14:textId="77777777" w:rsidR="00743B6C" w:rsidRPr="00743B6C" w:rsidRDefault="00743B6C" w:rsidP="007264CA">
      <w:pPr>
        <w:numPr>
          <w:ilvl w:val="0"/>
          <w:numId w:val="4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sustenta formalmente índices baseados em degradação + tempo de recuperação;</w:t>
      </w:r>
    </w:p>
    <w:p w14:paraId="475142B2" w14:textId="77777777" w:rsidR="00743B6C" w:rsidRPr="00743B6C" w:rsidRDefault="00743B6C" w:rsidP="007264CA">
      <w:pPr>
        <w:numPr>
          <w:ilvl w:val="0"/>
          <w:numId w:val="4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é compatível com o conceito de </w:t>
      </w:r>
      <w:proofErr w:type="spellStart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>back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>bounce</w:t>
      </w:r>
      <w:proofErr w:type="spellEnd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i/>
          <w:iCs/>
          <w:kern w:val="0"/>
          <w:lang w:eastAsia="pt-PT"/>
          <w14:ligatures w14:val="none"/>
        </w:rPr>
        <w:t>forward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37876EA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2C8D146A">
          <v:rect id="_x0000_i1104" style="width:0;height:1.5pt" o:hralign="center" o:hrstd="t" o:hr="t" fillcolor="#a0a0a0" stroked="f"/>
        </w:pict>
      </w:r>
    </w:p>
    <w:p w14:paraId="0F76B718" w14:textId="77777777" w:rsidR="00743B6C" w:rsidRPr="00743B6C" w:rsidRDefault="00743B6C" w:rsidP="007264C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2.3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Severity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Risk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Index (SRI)</w:t>
      </w:r>
    </w:p>
    <w:p w14:paraId="585ABD27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 artigo introduz um índice de risco de severidade:</w:t>
      </w:r>
    </w:p>
    <w:p w14:paraId="2C176C2B" w14:textId="3A01022D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SRI</m:t>
          </m:r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pt-PT"/>
                      <w14:ligatures w14:val="none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⋅I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k</m:t>
              </m:r>
            </m:sub>
          </m:sSub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</m:oMath>
      </m:oMathPara>
    </w:p>
    <w:p w14:paraId="199D6FC9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onde:</w:t>
      </w:r>
    </w:p>
    <w:p w14:paraId="47D63468" w14:textId="289FE37B" w:rsidR="00743B6C" w:rsidRPr="00743B6C" w:rsidRDefault="00743B6C" w:rsidP="007264C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k</m:t>
            </m:r>
          </m:sub>
        </m:sSub>
      </m:oMath>
      <w:r w:rsidRPr="00743B6C">
        <w:rPr>
          <w:rFonts w:eastAsia="Times New Roman" w:cs="Times New Roman"/>
          <w:kern w:val="0"/>
          <w:lang w:eastAsia="pt-PT"/>
          <w14:ligatures w14:val="none"/>
        </w:rPr>
        <w:t>é a probabilidade do cenário de falha;</w:t>
      </w:r>
    </w:p>
    <w:p w14:paraId="7FA55112" w14:textId="2BBCA12B" w:rsidR="00743B6C" w:rsidRPr="00743B6C" w:rsidRDefault="0034521C" w:rsidP="007264CA">
      <w:pPr>
        <w:numPr>
          <w:ilvl w:val="0"/>
          <w:numId w:val="5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pt-PT"/>
            <w14:ligatures w14:val="none"/>
          </w:rPr>
          <m:t>I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pt-PT"/>
                <w14:ligatures w14:val="none"/>
              </w:rPr>
              <m:t>k</m:t>
            </m:r>
          </m:sub>
        </m:sSub>
      </m:oMath>
      <w:r w:rsidR="00743B6C" w:rsidRPr="00743B6C">
        <w:rPr>
          <w:rFonts w:eastAsia="Times New Roman" w:cs="Times New Roman"/>
          <w:kern w:val="0"/>
          <w:lang w:eastAsia="pt-PT"/>
          <w14:ligatures w14:val="none"/>
        </w:rPr>
        <w:t>é o impacto (load shedding em MWh).</w:t>
      </w:r>
    </w:p>
    <w:p w14:paraId="042410D6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⚠️</w:t>
      </w: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Embora o SRI não seja um índice de resiliência por linha, ele:</w:t>
      </w:r>
    </w:p>
    <w:p w14:paraId="76A6876E" w14:textId="77777777" w:rsidR="00743B6C" w:rsidRPr="00743B6C" w:rsidRDefault="00743B6C" w:rsidP="007264C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integra probabilidade + impacto;</w:t>
      </w:r>
    </w:p>
    <w:p w14:paraId="6DA66ECF" w14:textId="77777777" w:rsidR="00743B6C" w:rsidRPr="00743B6C" w:rsidRDefault="00743B6C" w:rsidP="007264C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serve como métrica intermediária para decisão operacional;</w:t>
      </w:r>
    </w:p>
    <w:p w14:paraId="24F5F21D" w14:textId="77777777" w:rsidR="00743B6C" w:rsidRPr="00743B6C" w:rsidRDefault="00743B6C" w:rsidP="007264CA">
      <w:pPr>
        <w:numPr>
          <w:ilvl w:val="0"/>
          <w:numId w:val="6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fornece uma ponte metodológica importante para o seu trabalho.</w:t>
      </w:r>
    </w:p>
    <w:p w14:paraId="0A560034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3B54EBBE">
          <v:rect id="_x0000_i1105" style="width:0;height:1.5pt" o:hralign="center" o:hrstd="t" o:hr="t" fillcolor="#a0a0a0" stroked="f"/>
        </w:pict>
      </w:r>
    </w:p>
    <w:p w14:paraId="2052912D" w14:textId="77777777" w:rsidR="00743B6C" w:rsidRPr="00743B6C" w:rsidRDefault="00743B6C" w:rsidP="007264C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2.4 Integração com falhas em cascata</w:t>
      </w:r>
    </w:p>
    <w:p w14:paraId="1A982D5D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 artigo trata explicitamente:</w:t>
      </w:r>
    </w:p>
    <w:p w14:paraId="5B10FD3C" w14:textId="77777777" w:rsidR="00743B6C" w:rsidRPr="00743B6C" w:rsidRDefault="00743B6C" w:rsidP="007264C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cascatas induzidas por sobrecargas térmicas;</w:t>
      </w:r>
    </w:p>
    <w:p w14:paraId="35CFC655" w14:textId="77777777" w:rsidR="00743B6C" w:rsidRPr="00743B6C" w:rsidRDefault="00743B6C" w:rsidP="007264C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falhas correlacionadas sob vento extremo;</w:t>
      </w:r>
    </w:p>
    <w:p w14:paraId="7EF8750E" w14:textId="77777777" w:rsidR="00743B6C" w:rsidRPr="00743B6C" w:rsidRDefault="00743B6C" w:rsidP="007264CA">
      <w:pPr>
        <w:numPr>
          <w:ilvl w:val="0"/>
          <w:numId w:val="7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uso de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Sequential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Monte Carlo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Simulation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para capturar propagação.</w:t>
      </w:r>
    </w:p>
    <w:p w14:paraId="1CAF938C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Isso alinha-se diretamente com a sua tese ao mostrar que:</w:t>
      </w:r>
    </w:p>
    <w:p w14:paraId="16BC2646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 perda de uma linha deve ser analisada pelo seu impacto sistêmico, não isoladamente.</w:t>
      </w:r>
    </w:p>
    <w:p w14:paraId="4B14F8B0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43E4AB92">
          <v:rect id="_x0000_i1106" style="width:0;height:1.5pt" o:hralign="center" o:hrstd="t" o:hr="t" fillcolor="#a0a0a0" stroked="f"/>
        </w:pict>
      </w:r>
    </w:p>
    <w:p w14:paraId="7E9546AF" w14:textId="77777777" w:rsidR="00743B6C" w:rsidRPr="00743B6C" w:rsidRDefault="00743B6C" w:rsidP="007264CA">
      <w:pPr>
        <w:spacing w:after="120" w:line="336" w:lineRule="auto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2.5 Inclusão do tempo de reparo dependente do clima</w:t>
      </w:r>
    </w:p>
    <w:p w14:paraId="3FC5A41B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 TTR é modelado como função da severidade do evento (vento):</w:t>
      </w:r>
    </w:p>
    <w:p w14:paraId="1C357574" w14:textId="77777777" w:rsidR="00743B6C" w:rsidRPr="00743B6C" w:rsidRDefault="00743B6C" w:rsidP="007264C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linhas: TTR normal ≈ 10 h;</w:t>
      </w:r>
    </w:p>
    <w:p w14:paraId="49E7AE38" w14:textId="77777777" w:rsidR="00743B6C" w:rsidRPr="00743B6C" w:rsidRDefault="00743B6C" w:rsidP="007264C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torres: TTR normal ≈ 50 h;</w:t>
      </w:r>
    </w:p>
    <w:p w14:paraId="58137455" w14:textId="77777777" w:rsidR="00743B6C" w:rsidRPr="00743B6C" w:rsidRDefault="00743B6C" w:rsidP="007264CA">
      <w:pPr>
        <w:numPr>
          <w:ilvl w:val="0"/>
          <w:numId w:val="8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lastRenderedPageBreak/>
        <w:t>multiplicadores climáticos (até vários dias).</w:t>
      </w:r>
    </w:p>
    <w:p w14:paraId="7D62C07C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Este ponto é crítico para qualquer índice de resiliência que inclua tempo de recuperação, como o seu.</w:t>
      </w:r>
    </w:p>
    <w:p w14:paraId="507F4C8F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3696C7D2">
          <v:rect id="_x0000_i1107" style="width:0;height:1.5pt" o:hralign="center" o:hrstd="t" o:hr="t" fillcolor="#a0a0a0" stroked="f"/>
        </w:pict>
      </w:r>
    </w:p>
    <w:p w14:paraId="3EA8D900" w14:textId="77777777" w:rsidR="00743B6C" w:rsidRPr="00743B6C" w:rsidRDefault="00743B6C" w:rsidP="007264C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3. Resultados relevantes (lições quantitativas)</w:t>
      </w:r>
    </w:p>
    <w:p w14:paraId="6E99A0AD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Os resultados (Figuras 6–11, Tabelas I–III) mostram que:</w:t>
      </w:r>
    </w:p>
    <w:p w14:paraId="16B5F839" w14:textId="77777777" w:rsidR="00743B6C" w:rsidRPr="00743B6C" w:rsidRDefault="00743B6C" w:rsidP="007264CA">
      <w:pPr>
        <w:numPr>
          <w:ilvl w:val="0"/>
          <w:numId w:val="9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abaixo de ≈36 m/s, o sistema absorve o evento sem grandes perdas;</w:t>
      </w:r>
    </w:p>
    <w:p w14:paraId="5E00616C" w14:textId="77777777" w:rsidR="00743B6C" w:rsidRPr="00743B6C" w:rsidRDefault="00743B6C" w:rsidP="007264CA">
      <w:pPr>
        <w:numPr>
          <w:ilvl w:val="0"/>
          <w:numId w:val="9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acima de ≈38–40 m/s, ocorre degradação abrupta da resiliência;</w:t>
      </w:r>
    </w:p>
    <w:p w14:paraId="4FA64759" w14:textId="77777777" w:rsidR="00743B6C" w:rsidRPr="00743B6C" w:rsidRDefault="00743B6C" w:rsidP="007264CA">
      <w:pPr>
        <w:numPr>
          <w:ilvl w:val="0"/>
          <w:numId w:val="9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defensive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islanding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reduz significativamente o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load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shedding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quando:</w:t>
      </w:r>
    </w:p>
    <w:p w14:paraId="390BF660" w14:textId="2C040337" w:rsidR="00743B6C" w:rsidRPr="00743B6C" w:rsidRDefault="00743B6C" w:rsidP="007264CA">
      <w:pPr>
        <w:spacing w:after="120" w:line="336" w:lineRule="auto"/>
        <w:ind w:left="720"/>
        <w:rPr>
          <w:rFonts w:eastAsia="Times New Roman" w:cs="Times New Roman"/>
          <w:kern w:val="0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lang w:eastAsia="pt-PT"/>
              <w14:ligatures w14:val="none"/>
            </w:rPr>
            <m:t>SRI</m:t>
          </m:r>
          <m:r>
            <w:rPr>
              <w:rFonts w:ascii="Cambria Math" w:eastAsia="Times New Roman" w:hAnsi="Cambria Math" w:cs="Times New Roman"/>
              <w:kern w:val="0"/>
              <w:lang w:eastAsia="pt-PT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lang w:eastAsia="pt-PT"/>
                  <w14:ligatures w14:val="none"/>
                </w:rPr>
                <m:t>SRI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pt-PT"/>
                  <w14:ligatures w14:val="none"/>
                </w:rPr>
                <m:t>thres</m:t>
              </m:r>
            </m:sub>
          </m:sSub>
          <m:r>
            <w:rPr>
              <w:rFonts w:eastAsia="Times New Roman" w:cs="Times New Roman"/>
              <w:kern w:val="0"/>
              <w:lang w:eastAsia="pt-PT"/>
              <w14:ligatures w14:val="none"/>
            </w:rPr>
            <w:br/>
          </m:r>
        </m:oMath>
      </m:oMathPara>
    </w:p>
    <w:p w14:paraId="1AF7A0F0" w14:textId="77777777" w:rsidR="00743B6C" w:rsidRPr="00743B6C" w:rsidRDefault="00743B6C" w:rsidP="007264CA">
      <w:pPr>
        <w:numPr>
          <w:ilvl w:val="0"/>
          <w:numId w:val="9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há limiares críticos, comportamento não linear e forte dependência da severidade climática.</w:t>
      </w:r>
    </w:p>
    <w:p w14:paraId="28E5C56C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Esses achados são totalmente coerentes com a literatura de HILP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events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1D3767C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pict w14:anchorId="517C9D94">
          <v:rect id="_x0000_i1108" style="width:0;height:1.5pt" o:hralign="center" o:hrstd="t" o:hr="t" fillcolor="#a0a0a0" stroked="f"/>
        </w:pict>
      </w:r>
    </w:p>
    <w:p w14:paraId="78753A00" w14:textId="77777777" w:rsidR="00743B6C" w:rsidRPr="00743B6C" w:rsidRDefault="00743B6C" w:rsidP="007264CA">
      <w:pPr>
        <w:spacing w:after="120" w:line="336" w:lineRule="auto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4. Limitações (e espaço para a sua contribuição)</w:t>
      </w:r>
    </w:p>
    <w:p w14:paraId="443F12BA" w14:textId="77777777" w:rsidR="00743B6C" w:rsidRPr="00743B6C" w:rsidRDefault="00743B6C" w:rsidP="007264CA">
      <w:pPr>
        <w:numPr>
          <w:ilvl w:val="0"/>
          <w:numId w:val="10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Resiliência ainda avaliada por métricas sistêmicas agregadas (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load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shedding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);</w:t>
      </w:r>
    </w:p>
    <w:p w14:paraId="42BE45CF" w14:textId="77777777" w:rsidR="00743B6C" w:rsidRPr="00743B6C" w:rsidRDefault="00743B6C" w:rsidP="007264CA">
      <w:pPr>
        <w:numPr>
          <w:ilvl w:val="0"/>
          <w:numId w:val="10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Não há índice explícito por linha/corredor;</w:t>
      </w:r>
    </w:p>
    <w:p w14:paraId="1888E0AE" w14:textId="77777777" w:rsidR="00743B6C" w:rsidRPr="00743B6C" w:rsidRDefault="00743B6C" w:rsidP="007264CA">
      <w:pPr>
        <w:numPr>
          <w:ilvl w:val="0"/>
          <w:numId w:val="10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 ação operacional (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islanding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) é complexa para aplicação generalizada;</w:t>
      </w:r>
    </w:p>
    <w:p w14:paraId="56203BD1" w14:textId="77777777" w:rsidR="00743B6C" w:rsidRPr="00743B6C" w:rsidRDefault="00743B6C" w:rsidP="007264CA">
      <w:pPr>
        <w:numPr>
          <w:ilvl w:val="0"/>
          <w:numId w:val="10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Alto custo computacional (SMCS + OPF + </w:t>
      </w:r>
      <w:proofErr w:type="spellStart"/>
      <w:r w:rsidRPr="00743B6C">
        <w:rPr>
          <w:rFonts w:eastAsia="Times New Roman" w:cs="Times New Roman"/>
          <w:kern w:val="0"/>
          <w:lang w:eastAsia="pt-PT"/>
          <w14:ligatures w14:val="none"/>
        </w:rPr>
        <w:t>clustering</w:t>
      </w:r>
      <w:proofErr w:type="spellEnd"/>
      <w:r w:rsidRPr="00743B6C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2DA39B24" w14:textId="77777777" w:rsidR="00743B6C" w:rsidRPr="00743B6C" w:rsidRDefault="00743B6C" w:rsidP="007264CA">
      <w:p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➡</w:t>
      </w:r>
      <w:proofErr w:type="gramStart"/>
      <w:r w:rsidRPr="00743B6C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️</w:t>
      </w:r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Estas</w:t>
      </w:r>
      <w:proofErr w:type="gramEnd"/>
      <w:r w:rsidRPr="00743B6C">
        <w:rPr>
          <w:rFonts w:eastAsia="Times New Roman" w:cs="Times New Roman"/>
          <w:kern w:val="0"/>
          <w:lang w:eastAsia="pt-PT"/>
          <w14:ligatures w14:val="none"/>
        </w:rPr>
        <w:t xml:space="preserve"> limitações reforçam diretamente a originalidade da sua tese, que propõe:</w:t>
      </w:r>
    </w:p>
    <w:p w14:paraId="7883823A" w14:textId="77777777" w:rsidR="00743B6C" w:rsidRPr="00743B6C" w:rsidRDefault="00743B6C" w:rsidP="007264CA">
      <w:pPr>
        <w:numPr>
          <w:ilvl w:val="0"/>
          <w:numId w:val="1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um índice mais simples;</w:t>
      </w:r>
    </w:p>
    <w:p w14:paraId="6827D637" w14:textId="77777777" w:rsidR="00743B6C" w:rsidRPr="00743B6C" w:rsidRDefault="00743B6C" w:rsidP="007264CA">
      <w:pPr>
        <w:numPr>
          <w:ilvl w:val="0"/>
          <w:numId w:val="1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aplicável por linha de transmissão;</w:t>
      </w:r>
    </w:p>
    <w:p w14:paraId="5B51F297" w14:textId="77777777" w:rsidR="00743B6C" w:rsidRPr="00743B6C" w:rsidRDefault="00743B6C" w:rsidP="007264CA">
      <w:pPr>
        <w:numPr>
          <w:ilvl w:val="0"/>
          <w:numId w:val="11"/>
        </w:numPr>
        <w:spacing w:after="120" w:line="336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43B6C">
        <w:rPr>
          <w:rFonts w:eastAsia="Times New Roman" w:cs="Times New Roman"/>
          <w:kern w:val="0"/>
          <w:lang w:eastAsia="pt-PT"/>
          <w14:ligatures w14:val="none"/>
        </w:rPr>
        <w:t>capaz de apoiar priorização e planeamento, mesmo sem ações sofisticadas de controle.</w:t>
      </w:r>
    </w:p>
    <w:p w14:paraId="3E3CA556" w14:textId="77777777" w:rsidR="00CC1EB1" w:rsidRPr="0034521C" w:rsidRDefault="00CC1EB1" w:rsidP="007264CA">
      <w:pPr>
        <w:spacing w:after="120" w:line="336" w:lineRule="auto"/>
        <w:rPr>
          <w:rFonts w:cs="Times New Roman"/>
        </w:rPr>
      </w:pPr>
    </w:p>
    <w:sectPr w:rsidR="00CC1EB1" w:rsidRPr="0034521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40A5"/>
    <w:multiLevelType w:val="multilevel"/>
    <w:tmpl w:val="8F6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67944"/>
    <w:multiLevelType w:val="multilevel"/>
    <w:tmpl w:val="D60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039AE"/>
    <w:multiLevelType w:val="multilevel"/>
    <w:tmpl w:val="F5E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47E6E"/>
    <w:multiLevelType w:val="multilevel"/>
    <w:tmpl w:val="224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11871"/>
    <w:multiLevelType w:val="multilevel"/>
    <w:tmpl w:val="99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25AF8"/>
    <w:multiLevelType w:val="multilevel"/>
    <w:tmpl w:val="6CC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70EC4"/>
    <w:multiLevelType w:val="multilevel"/>
    <w:tmpl w:val="570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613A9"/>
    <w:multiLevelType w:val="multilevel"/>
    <w:tmpl w:val="C70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96F2F"/>
    <w:multiLevelType w:val="multilevel"/>
    <w:tmpl w:val="6A2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33CBD"/>
    <w:multiLevelType w:val="multilevel"/>
    <w:tmpl w:val="A1F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E3B05"/>
    <w:multiLevelType w:val="multilevel"/>
    <w:tmpl w:val="E82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42587">
    <w:abstractNumId w:val="7"/>
  </w:num>
  <w:num w:numId="2" w16cid:durableId="543294872">
    <w:abstractNumId w:val="6"/>
  </w:num>
  <w:num w:numId="3" w16cid:durableId="901059590">
    <w:abstractNumId w:val="8"/>
  </w:num>
  <w:num w:numId="4" w16cid:durableId="2007902217">
    <w:abstractNumId w:val="3"/>
  </w:num>
  <w:num w:numId="5" w16cid:durableId="1049917249">
    <w:abstractNumId w:val="5"/>
  </w:num>
  <w:num w:numId="6" w16cid:durableId="931817799">
    <w:abstractNumId w:val="9"/>
  </w:num>
  <w:num w:numId="7" w16cid:durableId="1906141355">
    <w:abstractNumId w:val="0"/>
  </w:num>
  <w:num w:numId="8" w16cid:durableId="1985312356">
    <w:abstractNumId w:val="4"/>
  </w:num>
  <w:num w:numId="9" w16cid:durableId="1110785651">
    <w:abstractNumId w:val="1"/>
  </w:num>
  <w:num w:numId="10" w16cid:durableId="723598347">
    <w:abstractNumId w:val="10"/>
  </w:num>
  <w:num w:numId="11" w16cid:durableId="614754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B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521C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264CA"/>
    <w:rsid w:val="00743B6C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1EB1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40F35"/>
  <w15:chartTrackingRefBased/>
  <w15:docId w15:val="{1C11A36C-A6D2-45AC-908D-03DE5C72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B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B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B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B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B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C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B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C1E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3B6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43B6C"/>
    <w:rPr>
      <w:b/>
      <w:bCs/>
    </w:rPr>
  </w:style>
  <w:style w:type="character" w:styleId="Emphasis">
    <w:name w:val="Emphasis"/>
    <w:basedOn w:val="DefaultParagraphFont"/>
    <w:uiPriority w:val="20"/>
    <w:qFormat/>
    <w:rsid w:val="00743B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2026-01-01T17:22:00Z</dcterms:created>
  <dcterms:modified xsi:type="dcterms:W3CDTF">2026-01-01T17:30:00Z</dcterms:modified>
</cp:coreProperties>
</file>