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EF05" w14:textId="77777777" w:rsidR="00CD5915" w:rsidRDefault="00CD5915" w:rsidP="00CD5915">
      <w:r>
        <w:t>Título: A Quantified Resilience Assessment Approach for Electrical Power Systems Considering Multiple Transmission Line Outages</w:t>
      </w:r>
    </w:p>
    <w:p w14:paraId="12EDA62C" w14:textId="77777777" w:rsidR="00CD5915" w:rsidRDefault="00CD5915" w:rsidP="00CD5915"/>
    <w:p w14:paraId="68208DD9" w14:textId="77777777" w:rsidR="00CD5915" w:rsidRDefault="00CD5915" w:rsidP="00CD5915">
      <w:r>
        <w:t>Autores: Xiaonan Liu, Kai Hou, Hongjie Jia, Yunfei Mu, Xiaodan Yu, Yue Wang, Jialin Dong</w:t>
      </w:r>
    </w:p>
    <w:p w14:paraId="7A6D7E42" w14:textId="77777777" w:rsidR="00CD5915" w:rsidRDefault="00CD5915" w:rsidP="00CD5915"/>
    <w:p w14:paraId="43EEA190" w14:textId="2730AE27" w:rsidR="00CD5915" w:rsidRDefault="00CD5915" w:rsidP="00CD5915">
      <w:r>
        <w:t>Afilições: Key Laboratory of Smart Grid of Ministry of Education, Tianjin University; State Grid Tianjin Electric Power Company</w:t>
      </w:r>
    </w:p>
    <w:p w14:paraId="5E1A244C" w14:textId="77777777" w:rsidR="00CD5915" w:rsidRDefault="00CD5915" w:rsidP="00CD5915"/>
    <w:p w14:paraId="34B8E216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Publicado em: IEEE Electrical Power and Energy Conference (EPEC), 2017</w:t>
      </w:r>
    </w:p>
    <w:p w14:paraId="3CB38044" w14:textId="77777777" w:rsidR="00CD5915" w:rsidRPr="00CD5915" w:rsidRDefault="00CD5915" w:rsidP="00CD5915">
      <w:pPr>
        <w:rPr>
          <w:lang w:val="pt-BR"/>
        </w:rPr>
      </w:pPr>
    </w:p>
    <w:p w14:paraId="33C6387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2. Resumo do Abstract em Português</w:t>
      </w:r>
    </w:p>
    <w:p w14:paraId="5671ECB9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O artigo propõe um método quantificado para avaliação da resiliência de sistemas elétricos considerando múltiplas falhas em linhas de transmissão, com base em índices de resiliência em dois níveis: sistema e componente. A metodologia permite simular eventos disruptivos e medir robustez, rapidez e frequência associadas a diferentes topologias e contingências, visando identificar pontos fracos e propor estratégias de reforço direcionadas. A abordagem é validada no sistema teste IEEE RTS-79 sob condições N-1, N-2 e N-3.</w:t>
      </w:r>
    </w:p>
    <w:p w14:paraId="0963AB17" w14:textId="77777777" w:rsidR="00CD5915" w:rsidRPr="00CD5915" w:rsidRDefault="00CD5915" w:rsidP="00CD5915">
      <w:pPr>
        <w:rPr>
          <w:lang w:val="pt-BR"/>
        </w:rPr>
      </w:pPr>
    </w:p>
    <w:p w14:paraId="6B9362D3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3. Introdução</w:t>
      </w:r>
    </w:p>
    <w:p w14:paraId="10432EE4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O estudo parte da constatação de que falhas múltiplas em linhas de transmissão causadas por desastres naturais ou ataques intencionais podem comprometer seriamente a operação segura de sistemas elétricos, mesmo quando atendem a critérios de confiabilidade tradicionais. Dessa forma, introduz-se a resiliência como uma métrica mais ampla e dinâmica. Os autores fundamentam-se nos '4Rs' (robustez, redundância, rapidez e engenhosidade) conforme Bruneau et al. (2003), propondo um modelo que mede quantitativamente a perda de desempenho funcional ao longo do tempo — a área sob a curva de queda e recuperação de desempenho, também chamada de 'triângulo de resiliência'.</w:t>
      </w:r>
    </w:p>
    <w:p w14:paraId="5EFCF191" w14:textId="77777777" w:rsidR="00CD5915" w:rsidRPr="00CD5915" w:rsidRDefault="00CD5915" w:rsidP="00CD5915">
      <w:pPr>
        <w:rPr>
          <w:lang w:val="pt-BR"/>
        </w:rPr>
      </w:pPr>
    </w:p>
    <w:p w14:paraId="7C6AAC94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4. Metodologia</w:t>
      </w:r>
    </w:p>
    <w:p w14:paraId="236B9C1C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A proposta metodológica divide-se em três partes:</w:t>
      </w:r>
    </w:p>
    <w:p w14:paraId="725098D7" w14:textId="77777777" w:rsidR="00CD5915" w:rsidRPr="00CD5915" w:rsidRDefault="00CD5915" w:rsidP="00CD5915">
      <w:pPr>
        <w:rPr>
          <w:lang w:val="pt-BR"/>
        </w:rPr>
      </w:pPr>
    </w:p>
    <w:p w14:paraId="19045290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Definição de índices de resiliência nos níveis do sistema e dos componentes:</w:t>
      </w:r>
    </w:p>
    <w:p w14:paraId="55E02BD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 xml:space="preserve">   • Robustez (</w:t>
      </w:r>
      <w:r>
        <w:t>Δ</w:t>
      </w:r>
      <w:r w:rsidRPr="00CD5915">
        <w:rPr>
          <w:lang w:val="pt-BR"/>
        </w:rPr>
        <w:t>Q): violação de tensão nas barras após falha;</w:t>
      </w:r>
    </w:p>
    <w:p w14:paraId="13FF970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 xml:space="preserve">   • Rapidez (</w:t>
      </w:r>
      <w:r>
        <w:t>Δ</w:t>
      </w:r>
      <w:r w:rsidRPr="00CD5915">
        <w:rPr>
          <w:lang w:val="pt-BR"/>
        </w:rPr>
        <w:t>t): tempo de recuperação até operação normal;</w:t>
      </w:r>
    </w:p>
    <w:p w14:paraId="4F52986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 xml:space="preserve">   • Frequência (fi): frequência de ocorrência da falha, calculada via Cadeia de Markov.</w:t>
      </w:r>
    </w:p>
    <w:p w14:paraId="2EAE6B1C" w14:textId="77777777" w:rsidR="00CD5915" w:rsidRPr="00CD5915" w:rsidRDefault="00CD5915" w:rsidP="00CD5915">
      <w:pPr>
        <w:rPr>
          <w:lang w:val="pt-BR"/>
        </w:rPr>
      </w:pPr>
    </w:p>
    <w:p w14:paraId="744FDF05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Cálculo dos índices via simulação de fluxo de carga com restrições de rampa dos geradores para quantificar a resposta dinâmica do sistema.</w:t>
      </w:r>
    </w:p>
    <w:p w14:paraId="372BB874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Proposição de medidas de reforço com base nos resultados dos índices (manutenção, armazenamento de energia e compensação reativa).</w:t>
      </w:r>
    </w:p>
    <w:p w14:paraId="23501AE0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lastRenderedPageBreak/>
        <w:t>5. Resultados</w:t>
      </w:r>
    </w:p>
    <w:p w14:paraId="5323C9F5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Os índices foram aplicados ao sistema IEEE RTS-79. Os eventos N-1, N-2 e N-3 foram simulados. O índice de resiliência global reduziu significativamente conforme o número de falhas aumentou, com valores de 7.506 (N-1), 1.063 (N-2) e 0.032 (N-3).</w:t>
      </w:r>
    </w:p>
    <w:p w14:paraId="1F0799E4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A barra 6 foi identificada como o ponto mais fraco do sistema devido à sua dependência de uma única linha (2-6) com alta reatância após falha da linha 6-10, levando a tensões críticas.</w:t>
      </w:r>
    </w:p>
    <w:p w14:paraId="3C95BAF3" w14:textId="77777777" w:rsidR="00CD5915" w:rsidRPr="00CD5915" w:rsidRDefault="00CD5915" w:rsidP="00CD5915">
      <w:pPr>
        <w:rPr>
          <w:lang w:val="pt-BR"/>
        </w:rPr>
      </w:pPr>
    </w:p>
    <w:p w14:paraId="01A78A29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Três estratégias foram comparadas:</w:t>
      </w:r>
    </w:p>
    <w:p w14:paraId="136C0191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A: Melhorar manutenção da linha 6-10 (reduz frequência Rf);</w:t>
      </w:r>
    </w:p>
    <w:p w14:paraId="3184D3C5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B: Instalar armazenamento de 68 MVA na barra 6 (reduz rapidez Rt);</w:t>
      </w:r>
    </w:p>
    <w:p w14:paraId="4FBD0578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C: Instalar compensação reativa de 33 MVar (reduz robustez RQ).</w:t>
      </w:r>
    </w:p>
    <w:p w14:paraId="2187A712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A estratégia C foi a mais eficaz e econômica, reduzindo Rbus de 5.232 para 3.369.</w:t>
      </w:r>
    </w:p>
    <w:p w14:paraId="2DF00E92" w14:textId="77777777" w:rsidR="00CD5915" w:rsidRPr="00CD5915" w:rsidRDefault="00CD5915" w:rsidP="00CD5915">
      <w:pPr>
        <w:rPr>
          <w:lang w:val="pt-BR"/>
        </w:rPr>
      </w:pPr>
    </w:p>
    <w:p w14:paraId="6C2130DB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6. Discussão</w:t>
      </w:r>
    </w:p>
    <w:p w14:paraId="505C4129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O modelo quantificado proposto representa um avanço ao permitir que se avaliem simultaneamente diferentes dimensões da resiliência com base em dados físicos e operacionais. Ao simular diretamente o efeito de falhas múltiplas nas linhas — independentemente da natureza do evento disruptivo — a metodologia torna-se versátil e aplicável a diversos tipos de ameaça. O uso de índices distintos (Rf, Rt, RQ) permite direcionar medidas de reforço conforme o tipo de vulnerabilidade predominante em cada barra.</w:t>
      </w:r>
    </w:p>
    <w:p w14:paraId="5C27DA2F" w14:textId="77777777" w:rsidR="00CD5915" w:rsidRPr="00CD5915" w:rsidRDefault="00CD5915" w:rsidP="00CD5915">
      <w:pPr>
        <w:rPr>
          <w:lang w:val="pt-BR"/>
        </w:rPr>
      </w:pPr>
    </w:p>
    <w:p w14:paraId="7E3CA89E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7. Conclusão Crítica</w:t>
      </w:r>
    </w:p>
    <w:p w14:paraId="781DB6B9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A metodologia proposta por Liu et al. (2017) constitui um importante avanço para planejamento e operação resiliente de sistemas elétricos. A abordagem combinada de avaliação e proposta de reforço baseada em índices quantitativos possibilita intervenções direcionadas e eficientes. Como limitação, destaca-se que o modelo assume linearidade e simetria em certos parâmetros, não incluindo efeitos dinâmicos mais complexos como falhas em cascata ou modelagem não linear do tempo de resposta.</w:t>
      </w:r>
    </w:p>
    <w:p w14:paraId="562136C7" w14:textId="77777777" w:rsidR="00CD5915" w:rsidRPr="00CD5915" w:rsidRDefault="00CD5915" w:rsidP="00CD5915">
      <w:pPr>
        <w:rPr>
          <w:lang w:val="pt-BR"/>
        </w:rPr>
      </w:pPr>
    </w:p>
    <w:p w14:paraId="26F7C4D4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8. Resumo dos Achados Principais</w:t>
      </w:r>
    </w:p>
    <w:p w14:paraId="0A46C8F8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Proposta de índices de resiliência nos níveis do sistema e componente;</w:t>
      </w:r>
    </w:p>
    <w:p w14:paraId="58987E4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Aplicação da metodologia em contingências N-1 a N-3 no IEEE RTS-79;</w:t>
      </w:r>
    </w:p>
    <w:p w14:paraId="6D323041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Identificação da barra 6 como ponto crítico;</w:t>
      </w:r>
    </w:p>
    <w:p w14:paraId="3972171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- Comparação entre estratégias de reforço estruturais e operacionais;</w:t>
      </w:r>
    </w:p>
    <w:p w14:paraId="68ED83C8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- Seleção da compensação reativa como alternativa de melhor custo-benefício.</w:t>
      </w:r>
    </w:p>
    <w:p w14:paraId="3F1FBF9C" w14:textId="77777777" w:rsidR="00CD5915" w:rsidRPr="00CD5915" w:rsidRDefault="00CD5915" w:rsidP="00CD5915">
      <w:pPr>
        <w:rPr>
          <w:lang w:val="pt-BR"/>
        </w:rPr>
      </w:pPr>
    </w:p>
    <w:p w14:paraId="7AE57E19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9. Descrição Técnica de Figuras, Tabelas e Gráficos</w:t>
      </w:r>
    </w:p>
    <w:p w14:paraId="51237B3E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Figura 1: Triângulo de resiliência funcional mostrando queda e recuperação do sistema ao longo do tempo.</w:t>
      </w:r>
    </w:p>
    <w:p w14:paraId="593BE498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Figura 2: Gráfico radar dos índices Rf, Rt e RQ para componentes.</w:t>
      </w:r>
    </w:p>
    <w:p w14:paraId="69BD8AB6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lastRenderedPageBreak/>
        <w:t>• Figura 3: Ilustração dos efeitos de cada estratégia de reforço sobre os índices de resiliência.</w:t>
      </w:r>
    </w:p>
    <w:p w14:paraId="277F4CBF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Figura 4: Resultados dos índices de tensão nas barras.</w:t>
      </w:r>
    </w:p>
    <w:p w14:paraId="59B0130D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Figura 5: Comparativo entre os efeitos dos esquemas A, B e C.</w:t>
      </w:r>
    </w:p>
    <w:p w14:paraId="52D7C77E" w14:textId="77777777" w:rsidR="00CD5915" w:rsidRPr="00CD5915" w:rsidRDefault="00CD5915" w:rsidP="00CD5915">
      <w:pPr>
        <w:rPr>
          <w:lang w:val="pt-BR"/>
        </w:rPr>
      </w:pPr>
      <w:r w:rsidRPr="00CD5915">
        <w:rPr>
          <w:lang w:val="pt-BR"/>
        </w:rPr>
        <w:t>• Tabela I: Taxas de rampa dos geradores utilizados na simulação.</w:t>
      </w:r>
    </w:p>
    <w:p w14:paraId="3B0D0A96" w14:textId="77777777" w:rsidR="00CD5915" w:rsidRDefault="00CD5915" w:rsidP="00CD5915">
      <w:pPr>
        <w:rPr>
          <w:lang w:val="pt-BR"/>
        </w:rPr>
      </w:pPr>
      <w:r w:rsidRPr="00CD5915">
        <w:rPr>
          <w:lang w:val="pt-BR"/>
        </w:rPr>
        <w:t>• Tabela II: Índices de resiliência para eventos N-1 a N-3.</w:t>
      </w:r>
    </w:p>
    <w:p w14:paraId="4BAD3F89" w14:textId="77777777" w:rsidR="00EF7C5D" w:rsidRDefault="00EF7C5D" w:rsidP="00CD5915">
      <w:pPr>
        <w:rPr>
          <w:lang w:val="pt-BR"/>
        </w:rPr>
      </w:pPr>
    </w:p>
    <w:p w14:paraId="3281D58A" w14:textId="77777777" w:rsidR="00EF7C5D" w:rsidRDefault="00EF7C5D" w:rsidP="00EF7C5D">
      <w:r w:rsidRPr="0012278B">
        <w:t>A Quantified Resilience Assessment Approach for Electrical Power Systems Considering Multiple Transmission Line Outages</w:t>
      </w:r>
    </w:p>
    <w:p w14:paraId="39E9E5AD" w14:textId="77777777" w:rsidR="00EF7C5D" w:rsidRDefault="00EF7C5D" w:rsidP="00EF7C5D"/>
    <w:p w14:paraId="5D1CEFD1" w14:textId="77777777" w:rsidR="00EF7C5D" w:rsidRDefault="00EF7C5D" w:rsidP="00EF7C5D"/>
    <w:p w14:paraId="3A291A30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1) Foco do artigo</w:t>
      </w:r>
    </w:p>
    <w:p w14:paraId="55DE878A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O artigo investiga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a relação entre indicadores de desempenho (KPIs)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fatores geradores de resiliência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em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cadeias de suprimentos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por meio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revisão sistemática da literatura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(2000–2017).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  <w:t xml:space="preserve">O conceito de resiliência é tratado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no contexto da gestão de operações e supply chain</w:t>
      </w:r>
      <w:r w:rsidRPr="000657AF">
        <w:rPr>
          <w:rFonts w:eastAsia="Times New Roman" w:cs="Times New Roman"/>
          <w:sz w:val="24"/>
          <w:szCs w:val="24"/>
          <w:lang w:eastAsia="pt-PT"/>
        </w:rPr>
        <w:t>, com ênfase organizacional e gerencial.</w:t>
      </w:r>
    </w:p>
    <w:p w14:paraId="5502ACBF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6A5CD2BE">
          <v:rect id="_x0000_i1025" style="width:0;height:1.5pt" o:hralign="center" o:hrstd="t" o:hr="t" fillcolor="#a0a0a0" stroked="f"/>
        </w:pict>
      </w:r>
    </w:p>
    <w:p w14:paraId="62A9FFA4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2) Contribuições principais</w:t>
      </w:r>
    </w:p>
    <w:p w14:paraId="2EC111C4" w14:textId="77777777" w:rsidR="00EF7C5D" w:rsidRPr="000657AF" w:rsidRDefault="00EF7C5D" w:rsidP="00EF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Identificação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21 indicadores de desempenho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(ex.: nível de serviço, lead time, acurácia da previsão, precisão da informação, lucratividade).</w:t>
      </w:r>
    </w:p>
    <w:p w14:paraId="3FD36837" w14:textId="77777777" w:rsidR="00EF7C5D" w:rsidRPr="000657AF" w:rsidRDefault="00EF7C5D" w:rsidP="00EF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Identificação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12 fatores geradores de resiliência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(flexibilidade, visibilidade, redundância, colaboração, agilidade de reação, gestão de riscos etc.).</w:t>
      </w:r>
    </w:p>
    <w:p w14:paraId="2C51E1EB" w14:textId="77777777" w:rsidR="00EF7C5D" w:rsidRPr="000657AF" w:rsidRDefault="00EF7C5D" w:rsidP="00EF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Estabelecimento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correlações qualitativas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entre KPIs e fatores de resiliência (Quadro 4), mostrando quais indicadores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contribuem positivamente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para a resiliência organizacional.</w:t>
      </w:r>
    </w:p>
    <w:p w14:paraId="5C54C957" w14:textId="77777777" w:rsidR="00EF7C5D" w:rsidRPr="000657AF" w:rsidRDefault="00EF7C5D" w:rsidP="00EF7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Consolidação conceitual útil para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frameworks gerenciais de resiliência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3BBCE7B2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60DA269">
          <v:rect id="_x0000_i1026" style="width:0;height:1.5pt" o:hralign="center" o:hrstd="t" o:hr="t" fillcolor="#a0a0a0" stroked="f"/>
        </w:pict>
      </w:r>
    </w:p>
    <w:p w14:paraId="59117061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3) Metodologia</w:t>
      </w:r>
    </w:p>
    <w:p w14:paraId="0D11157A" w14:textId="77777777" w:rsidR="00EF7C5D" w:rsidRPr="000657AF" w:rsidRDefault="00EF7C5D" w:rsidP="00EF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Revisão Sistemática de Literatura (RSL)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baseada em Tranfield et al.</w:t>
      </w:r>
    </w:p>
    <w:p w14:paraId="6371B3CC" w14:textId="77777777" w:rsidR="00EF7C5D" w:rsidRPr="000657AF" w:rsidRDefault="00EF7C5D" w:rsidP="00EF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Base de dados: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EBSCO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(única base).</w:t>
      </w:r>
    </w:p>
    <w:p w14:paraId="1C0B8815" w14:textId="77777777" w:rsidR="00EF7C5D" w:rsidRPr="000657AF" w:rsidRDefault="00EF7C5D" w:rsidP="00EF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Processo rigoroso de filtragem:</w:t>
      </w:r>
    </w:p>
    <w:p w14:paraId="0170417C" w14:textId="77777777" w:rsidR="00EF7C5D" w:rsidRPr="000657AF" w:rsidRDefault="00EF7C5D" w:rsidP="00EF7C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1.156 artigos → 440 → 17 →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14 artigos finais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4A8CD9D5" w14:textId="77777777" w:rsidR="00EF7C5D" w:rsidRPr="000657AF" w:rsidRDefault="00EF7C5D" w:rsidP="00EF7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Abordagem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qualitativa e conceitual</w:t>
      </w:r>
      <w:r w:rsidRPr="000657AF">
        <w:rPr>
          <w:rFonts w:eastAsia="Times New Roman" w:cs="Times New Roman"/>
          <w:sz w:val="24"/>
          <w:szCs w:val="24"/>
          <w:lang w:eastAsia="pt-PT"/>
        </w:rPr>
        <w:t>, sem modelagem matemática ou validação empírica.</w:t>
      </w:r>
    </w:p>
    <w:p w14:paraId="188DAB88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41C5263">
          <v:rect id="_x0000_i1027" style="width:0;height:1.5pt" o:hralign="center" o:hrstd="t" o:hr="t" fillcolor="#a0a0a0" stroked="f"/>
        </w:pict>
      </w:r>
    </w:p>
    <w:p w14:paraId="0DFA359C" w14:textId="77777777" w:rsidR="00EF7C5D" w:rsidRPr="00EF7C5D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pt-PT" w:eastAsia="pt-PT"/>
        </w:rPr>
      </w:pPr>
      <w:r w:rsidRPr="00EF7C5D">
        <w:rPr>
          <w:rFonts w:eastAsia="Times New Roman" w:cs="Times New Roman"/>
          <w:b/>
          <w:bCs/>
          <w:sz w:val="27"/>
          <w:szCs w:val="27"/>
          <w:lang w:val="pt-PT" w:eastAsia="pt-PT"/>
        </w:rPr>
        <w:lastRenderedPageBreak/>
        <w:t>4) Aderência ao tema da tese</w:t>
      </w:r>
    </w:p>
    <w:p w14:paraId="52E753CC" w14:textId="77777777" w:rsidR="00EF7C5D" w:rsidRPr="00EF7C5D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eastAsia="Times New Roman" w:cs="Times New Roman"/>
          <w:b/>
          <w:bCs/>
          <w:sz w:val="24"/>
          <w:szCs w:val="24"/>
          <w:lang w:val="pt-PT" w:eastAsia="pt-PT"/>
        </w:rPr>
        <w:t>Tema da tese: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 Resiliência das Linhas de Transmissão de Energia Elétrica frente a eventos extremos.</w:t>
      </w:r>
    </w:p>
    <w:p w14:paraId="0F86A6CF" w14:textId="77777777" w:rsidR="00EF7C5D" w:rsidRPr="00EF7C5D" w:rsidRDefault="00EF7C5D" w:rsidP="00EF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ascii="Segoe UI Emoji" w:eastAsia="Times New Roman" w:hAnsi="Segoe UI Emoji" w:cs="Segoe UI Emoji"/>
          <w:sz w:val="24"/>
          <w:szCs w:val="24"/>
          <w:lang w:val="pt-PT" w:eastAsia="pt-PT"/>
        </w:rPr>
        <w:t>❌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 Não trata de sistemas elétricos.</w:t>
      </w:r>
    </w:p>
    <w:p w14:paraId="3BBA03AE" w14:textId="77777777" w:rsidR="00EF7C5D" w:rsidRPr="00EF7C5D" w:rsidRDefault="00EF7C5D" w:rsidP="00EF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ascii="Segoe UI Emoji" w:eastAsia="Times New Roman" w:hAnsi="Segoe UI Emoji" w:cs="Segoe UI Emoji"/>
          <w:sz w:val="24"/>
          <w:szCs w:val="24"/>
          <w:lang w:val="pt-PT" w:eastAsia="pt-PT"/>
        </w:rPr>
        <w:t>❌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 Não aborda infraestrutura crítica, transmissão, redes físicas ou clima.</w:t>
      </w:r>
    </w:p>
    <w:p w14:paraId="6A2BF1B1" w14:textId="77777777" w:rsidR="00EF7C5D" w:rsidRPr="00EF7C5D" w:rsidRDefault="00EF7C5D" w:rsidP="00EF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ascii="Segoe UI Emoji" w:eastAsia="Times New Roman" w:hAnsi="Segoe UI Emoji" w:cs="Segoe UI Emoji"/>
          <w:sz w:val="24"/>
          <w:szCs w:val="24"/>
          <w:lang w:val="pt-PT" w:eastAsia="pt-PT"/>
        </w:rPr>
        <w:t>❌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 Não propõe métricas quantitativas aplicáveis a engenharia elétrica.</w:t>
      </w:r>
    </w:p>
    <w:p w14:paraId="32E3F815" w14:textId="77777777" w:rsidR="00EF7C5D" w:rsidRPr="00EF7C5D" w:rsidRDefault="00EF7C5D" w:rsidP="00EF7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ascii="Segoe UI Emoji" w:eastAsia="Times New Roman" w:hAnsi="Segoe UI Emoji" w:cs="Segoe UI Emoji"/>
          <w:sz w:val="24"/>
          <w:szCs w:val="24"/>
          <w:lang w:val="pt-PT" w:eastAsia="pt-PT"/>
        </w:rPr>
        <w:t>✅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 Trabalha conceitos </w:t>
      </w:r>
      <w:r w:rsidRPr="00EF7C5D">
        <w:rPr>
          <w:rFonts w:eastAsia="Times New Roman" w:cs="Times New Roman"/>
          <w:b/>
          <w:bCs/>
          <w:sz w:val="24"/>
          <w:szCs w:val="24"/>
          <w:lang w:val="pt-PT" w:eastAsia="pt-PT"/>
        </w:rPr>
        <w:t>genéricos de resiliência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, úteis apenas como </w:t>
      </w:r>
      <w:r w:rsidRPr="00EF7C5D">
        <w:rPr>
          <w:rFonts w:eastAsia="Times New Roman" w:cs="Times New Roman"/>
          <w:b/>
          <w:bCs/>
          <w:sz w:val="24"/>
          <w:szCs w:val="24"/>
          <w:lang w:val="pt-PT" w:eastAsia="pt-PT"/>
        </w:rPr>
        <w:t>base conceitual transversal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>.</w:t>
      </w:r>
    </w:p>
    <w:p w14:paraId="6EB0FCDE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5D917B4D">
          <v:rect id="_x0000_i1028" style="width:0;height:1.5pt" o:hralign="center" o:hrstd="t" o:hr="t" fillcolor="#a0a0a0" stroked="f"/>
        </w:pict>
      </w:r>
    </w:p>
    <w:p w14:paraId="16E1B62E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5) Utilidade para a tese</w:t>
      </w:r>
    </w:p>
    <w:p w14:paraId="6C16BAFB" w14:textId="77777777" w:rsidR="00EF7C5D" w:rsidRPr="000657AF" w:rsidRDefault="00EF7C5D" w:rsidP="00EF7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Baixa utilidade técnica direta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3F1018D5" w14:textId="77777777" w:rsidR="00EF7C5D" w:rsidRPr="000657AF" w:rsidRDefault="00EF7C5D" w:rsidP="00EF7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Pode ser citado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pontualmente</w:t>
      </w:r>
      <w:r w:rsidRPr="000657AF">
        <w:rPr>
          <w:rFonts w:eastAsia="Times New Roman" w:cs="Times New Roman"/>
          <w:sz w:val="24"/>
          <w:szCs w:val="24"/>
          <w:lang w:eastAsia="pt-PT"/>
        </w:rPr>
        <w:t>:</w:t>
      </w:r>
    </w:p>
    <w:p w14:paraId="679581B6" w14:textId="77777777" w:rsidR="00EF7C5D" w:rsidRPr="00EF7C5D" w:rsidRDefault="00EF7C5D" w:rsidP="00EF7C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pt-PT" w:eastAsia="pt-PT"/>
        </w:rPr>
      </w:pPr>
      <w:r w:rsidRPr="00EF7C5D">
        <w:rPr>
          <w:rFonts w:eastAsia="Times New Roman" w:cs="Times New Roman"/>
          <w:sz w:val="24"/>
          <w:szCs w:val="24"/>
          <w:lang w:val="pt-PT" w:eastAsia="pt-PT"/>
        </w:rPr>
        <w:t xml:space="preserve">na </w:t>
      </w:r>
      <w:r w:rsidRPr="00EF7C5D">
        <w:rPr>
          <w:rFonts w:eastAsia="Times New Roman" w:cs="Times New Roman"/>
          <w:b/>
          <w:bCs/>
          <w:sz w:val="24"/>
          <w:szCs w:val="24"/>
          <w:lang w:val="pt-PT" w:eastAsia="pt-PT"/>
        </w:rPr>
        <w:t>contextualização teórica geral do conceito de resiliência</w:t>
      </w:r>
      <w:r w:rsidRPr="00EF7C5D">
        <w:rPr>
          <w:rFonts w:eastAsia="Times New Roman" w:cs="Times New Roman"/>
          <w:sz w:val="24"/>
          <w:szCs w:val="24"/>
          <w:lang w:val="pt-PT" w:eastAsia="pt-PT"/>
        </w:rPr>
        <w:t>, ou</w:t>
      </w:r>
    </w:p>
    <w:p w14:paraId="6D9E1741" w14:textId="77777777" w:rsidR="00EF7C5D" w:rsidRPr="000657AF" w:rsidRDefault="00EF7C5D" w:rsidP="00EF7C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para justificar a existência de abordagens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organizacionais vs. técnicas</w:t>
      </w:r>
      <w:r w:rsidRPr="000657AF">
        <w:rPr>
          <w:rFonts w:eastAsia="Times New Roman" w:cs="Times New Roman"/>
          <w:sz w:val="24"/>
          <w:szCs w:val="24"/>
          <w:lang w:eastAsia="pt-PT"/>
        </w:rPr>
        <w:t>, destacando a lacuna que sua tese pretende preencher (infraestrutura elétrica).</w:t>
      </w:r>
    </w:p>
    <w:p w14:paraId="64EF0748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13422EC">
          <v:rect id="_x0000_i1029" style="width:0;height:1.5pt" o:hralign="center" o:hrstd="t" o:hr="t" fillcolor="#a0a0a0" stroked="f"/>
        </w:pict>
      </w:r>
    </w:p>
    <w:p w14:paraId="40F739EF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6) Decisão final</w:t>
      </w:r>
    </w:p>
    <w:p w14:paraId="67766B6D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DECISÃO: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657AF">
        <w:rPr>
          <w:rFonts w:ascii="Segoe UI Emoji" w:eastAsia="Times New Roman" w:hAnsi="Segoe UI Emoji" w:cs="Segoe UI Emoji"/>
          <w:sz w:val="24"/>
          <w:szCs w:val="24"/>
          <w:lang w:eastAsia="pt-PT"/>
        </w:rPr>
        <w:t>❌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DESCARTAR para o núcleo da tese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  <w:t>(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Guardar apenas como referência conceitual secundária</w:t>
      </w:r>
      <w:r w:rsidRPr="000657AF">
        <w:rPr>
          <w:rFonts w:eastAsia="Times New Roman" w:cs="Times New Roman"/>
          <w:sz w:val="24"/>
          <w:szCs w:val="24"/>
          <w:lang w:eastAsia="pt-PT"/>
        </w:rPr>
        <w:t>, se desejar)</w:t>
      </w:r>
    </w:p>
    <w:p w14:paraId="45041A20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Justificativa técnica: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  <w:t>O artigo não contribui para:</w:t>
      </w:r>
    </w:p>
    <w:p w14:paraId="496B1C2F" w14:textId="77777777" w:rsidR="00EF7C5D" w:rsidRPr="000657AF" w:rsidRDefault="00EF7C5D" w:rsidP="00EF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métricas de resiliência elétrica,</w:t>
      </w:r>
    </w:p>
    <w:p w14:paraId="2D2519C2" w14:textId="77777777" w:rsidR="00EF7C5D" w:rsidRPr="000657AF" w:rsidRDefault="00EF7C5D" w:rsidP="00EF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modelagem de falhas em linhas de transmissão,</w:t>
      </w:r>
    </w:p>
    <w:p w14:paraId="0359E36C" w14:textId="77777777" w:rsidR="00EF7C5D" w:rsidRPr="000657AF" w:rsidRDefault="00EF7C5D" w:rsidP="00EF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relação clima–infraestrutura elétrica,</w:t>
      </w:r>
    </w:p>
    <w:p w14:paraId="2A7665B3" w14:textId="77777777" w:rsidR="00EF7C5D" w:rsidRPr="000657AF" w:rsidRDefault="00EF7C5D" w:rsidP="00EF7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nem métodos quantitativos aplicáveis ao seu índice de resiliência.</w:t>
      </w:r>
    </w:p>
    <w:p w14:paraId="1B285819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82C8B6E">
          <v:rect id="_x0000_i1030" style="width:0;height:1.5pt" o:hralign="center" o:hrstd="t" o:hr="t" fillcolor="#a0a0a0" stroked="f"/>
        </w:pict>
      </w:r>
    </w:p>
    <w:p w14:paraId="75C88947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7) Classificação resumida (para futura tabela)</w:t>
      </w:r>
    </w:p>
    <w:p w14:paraId="29474C99" w14:textId="77777777" w:rsidR="00EF7C5D" w:rsidRPr="000657AF" w:rsidRDefault="00EF7C5D" w:rsidP="00EF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Decisão: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Descartado</w:t>
      </w:r>
    </w:p>
    <w:p w14:paraId="2F526153" w14:textId="77777777" w:rsidR="00EF7C5D" w:rsidRPr="000657AF" w:rsidRDefault="00EF7C5D" w:rsidP="00EF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Foco: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Resiliência em cadeias de suprimentos (gestão)</w:t>
      </w:r>
    </w:p>
    <w:p w14:paraId="066C7B88" w14:textId="77777777" w:rsidR="00EF7C5D" w:rsidRPr="000657AF" w:rsidRDefault="00EF7C5D" w:rsidP="00EF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Importância para a tese: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Baixa</w:t>
      </w:r>
    </w:p>
    <w:p w14:paraId="0ACBC3BC" w14:textId="77777777" w:rsidR="00EF7C5D" w:rsidRPr="000657AF" w:rsidRDefault="00EF7C5D" w:rsidP="00EF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lastRenderedPageBreak/>
        <w:t>Ponto da tese: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Contextualização geral (opcional)</w:t>
      </w:r>
    </w:p>
    <w:p w14:paraId="4620C708" w14:textId="77777777" w:rsidR="00EF7C5D" w:rsidRPr="000657AF" w:rsidRDefault="00EF7C5D" w:rsidP="00EF7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Pontuação em relação à resiliência de LT: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2 / 10</w:t>
      </w:r>
    </w:p>
    <w:p w14:paraId="72805F89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FEDD0AE">
          <v:rect id="_x0000_i1031" style="width:0;height:1.5pt" o:hralign="center" o:hrstd="t" o:hr="t" fillcolor="#a0a0a0" stroked="f"/>
        </w:pict>
      </w:r>
    </w:p>
    <w:p w14:paraId="41DDFE9C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Quando quiser,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envie o próximo artigo (2017 ou 2018)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 sigo imediatamente com a próxima avaliação, mantendo exatamente este padrão.</w:t>
      </w:r>
    </w:p>
    <w:p w14:paraId="7C7D799D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Fontes</w:t>
      </w:r>
    </w:p>
    <w:p w14:paraId="74AF7F28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2017 A Quantified Resilience Assessment Approach for Electrical Power Systems Considering Multiple Transmission Line Outages-IEEE.pdf</w:t>
      </w:r>
    </w:p>
    <w:p w14:paraId="0BAE1CF1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PDF</w:t>
      </w:r>
    </w:p>
    <w:p w14:paraId="31990352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Perfeito. Segue a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avaliação técnica criteriosa do artigo IEEE de 2017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no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formato objetivo para decisão (guardar ou descartar)</w:t>
      </w:r>
      <w:r w:rsidRPr="000657AF">
        <w:rPr>
          <w:rFonts w:eastAsia="Times New Roman" w:cs="Times New Roman"/>
          <w:sz w:val="24"/>
          <w:szCs w:val="24"/>
          <w:lang w:eastAsia="pt-PT"/>
        </w:rPr>
        <w:t>, alinhado exatamente com o procedimento que definimos para a sua tese.</w:t>
      </w:r>
    </w:p>
    <w:p w14:paraId="56213C5A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16B7543">
          <v:rect id="_x0000_i1032" style="width:0;height:1.5pt" o:hralign="center" o:hrstd="t" o:hr="t" fillcolor="#a0a0a0" stroked="f"/>
        </w:pict>
      </w:r>
    </w:p>
    <w:p w14:paraId="5415212F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t>Artigo (2017)</w:t>
      </w:r>
    </w:p>
    <w:p w14:paraId="49A6F5C5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Título: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A Quantified Resilience Assessment Approach for Electrical Power Systems Considering Multiple Transmission Line Outages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Autores: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Xiaonan Liu; Kai Hou; Hongjie Jia; Yunfei Mu; Xiaodan Yu; Yue Wang; Jialin Dong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Evento / Fonte: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IEEE Electrical Power and Energy Conference (EPEC), 2017 </w:t>
      </w:r>
    </w:p>
    <w:p w14:paraId="252F5D69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2017 A Quantified Resilience As…</w:t>
      </w:r>
    </w:p>
    <w:p w14:paraId="251F4CA1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27E3AD9">
          <v:rect id="_x0000_i1033" style="width:0;height:1.5pt" o:hralign="center" o:hrstd="t" o:hr="t" fillcolor="#a0a0a0" stroked="f"/>
        </w:pict>
      </w:r>
    </w:p>
    <w:p w14:paraId="3CCB7AE7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t>1) Foco do artigo</w:t>
      </w:r>
    </w:p>
    <w:p w14:paraId="6536D585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O artigo propõe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uma abordagem quantitativa de avaliação da resiliência de sistemas elétricos de potência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considerando explicitamente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múltiplas contingências de linhas de transmissão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(N-1, N-2, N-3).</w:t>
      </w:r>
      <w:r w:rsidRPr="000657AF">
        <w:rPr>
          <w:rFonts w:eastAsia="Times New Roman" w:cs="Times New Roman"/>
          <w:sz w:val="24"/>
          <w:szCs w:val="24"/>
          <w:lang w:eastAsia="pt-PT"/>
        </w:rPr>
        <w:br/>
        <w:t xml:space="preserve">A resiliência é avaliada a partir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índices numéricos baseados no desempenho do sistema ao longo do tempo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com aplicação direta a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linhas de transmissão e barras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03AA34D9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0FA45075">
          <v:rect id="_x0000_i1034" style="width:0;height:1.5pt" o:hralign="center" o:hrstd="t" o:hr="t" fillcolor="#a0a0a0" stroked="f"/>
        </w:pict>
      </w:r>
    </w:p>
    <w:p w14:paraId="33BA2108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lastRenderedPageBreak/>
        <w:t>2) Contribuições principais (alto valor técnico)</w:t>
      </w:r>
    </w:p>
    <w:p w14:paraId="0691EC3A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O artigo apresenta contribuições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diretamente alinhadas com o núcleo da sua tese</w:t>
      </w:r>
      <w:r w:rsidRPr="000657AF">
        <w:rPr>
          <w:rFonts w:eastAsia="Times New Roman" w:cs="Times New Roman"/>
          <w:sz w:val="24"/>
          <w:szCs w:val="24"/>
          <w:lang w:eastAsia="pt-PT"/>
        </w:rPr>
        <w:t>, destacando-se:</w:t>
      </w:r>
    </w:p>
    <w:p w14:paraId="27202904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2.1 Fundamentação conceitual sólida</w:t>
      </w:r>
    </w:p>
    <w:p w14:paraId="17D23DEC" w14:textId="77777777" w:rsidR="00EF7C5D" w:rsidRPr="000657AF" w:rsidRDefault="00EF7C5D" w:rsidP="00EF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Adota explicitamente o conceito dos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4Rs da resiliência</w:t>
      </w:r>
      <w:r w:rsidRPr="000657AF">
        <w:rPr>
          <w:rFonts w:eastAsia="Times New Roman" w:cs="Times New Roman"/>
          <w:sz w:val="24"/>
          <w:szCs w:val="24"/>
          <w:lang w:eastAsia="pt-PT"/>
        </w:rPr>
        <w:t>:</w:t>
      </w:r>
    </w:p>
    <w:p w14:paraId="779E3470" w14:textId="77777777" w:rsidR="00EF7C5D" w:rsidRPr="000657AF" w:rsidRDefault="00EF7C5D" w:rsidP="00EF7C5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Robustness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</w:t>
      </w: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Redundancy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, </w:t>
      </w: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Resourcefulness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 </w:t>
      </w: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Rapidity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0B4EA540" w14:textId="77777777" w:rsidR="00EF7C5D" w:rsidRPr="000657AF" w:rsidRDefault="00EF7C5D" w:rsidP="00EF7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Base conceitual apoiada em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Bruneau et al. (2003)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 literatura IEEE clássica.</w:t>
      </w:r>
    </w:p>
    <w:p w14:paraId="632645C4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2.2 Proposta de métricas quantitativas</w:t>
      </w:r>
    </w:p>
    <w:p w14:paraId="4E4F4EE9" w14:textId="77777777" w:rsidR="00EF7C5D" w:rsidRPr="000657AF" w:rsidRDefault="00EF7C5D" w:rsidP="00EF7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Define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índices de resiliência mensuráveis</w:t>
      </w:r>
      <w:r w:rsidRPr="000657AF">
        <w:rPr>
          <w:rFonts w:eastAsia="Times New Roman" w:cs="Times New Roman"/>
          <w:sz w:val="24"/>
          <w:szCs w:val="24"/>
          <w:lang w:eastAsia="pt-PT"/>
        </w:rPr>
        <w:t>, evitando abordagens meramente qualitativas.</w:t>
      </w:r>
    </w:p>
    <w:p w14:paraId="53933143" w14:textId="77777777" w:rsidR="00EF7C5D" w:rsidRPr="000657AF" w:rsidRDefault="00EF7C5D" w:rsidP="00EF7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Evolui o “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triângulo da resiliência</w:t>
      </w:r>
      <w:r w:rsidRPr="000657AF">
        <w:rPr>
          <w:rFonts w:eastAsia="Times New Roman" w:cs="Times New Roman"/>
          <w:sz w:val="24"/>
          <w:szCs w:val="24"/>
          <w:lang w:eastAsia="pt-PT"/>
        </w:rPr>
        <w:t>” para sistemas elétricos reais.</w:t>
      </w:r>
    </w:p>
    <w:p w14:paraId="50D5B167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2.3 Índices de resiliência em dois níveis</w:t>
      </w:r>
    </w:p>
    <w:p w14:paraId="3103A2FF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(contribuição metodológica central):</w:t>
      </w:r>
    </w:p>
    <w:p w14:paraId="7390DDA9" w14:textId="77777777" w:rsidR="00EF7C5D" w:rsidRPr="000657AF" w:rsidRDefault="00EF7C5D" w:rsidP="00EF7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Índices de nível de sistema</w:t>
      </w:r>
      <w:r w:rsidRPr="000657AF">
        <w:rPr>
          <w:rFonts w:eastAsia="Times New Roman" w:cs="Times New Roman"/>
          <w:sz w:val="24"/>
          <w:szCs w:val="24"/>
          <w:lang w:eastAsia="pt-PT"/>
        </w:rPr>
        <w:t>, que quantificam o impacto global das falhas.</w:t>
      </w:r>
    </w:p>
    <w:p w14:paraId="1794921C" w14:textId="77777777" w:rsidR="00EF7C5D" w:rsidRPr="000657AF" w:rsidRDefault="00EF7C5D" w:rsidP="00EF7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Índices de nível de componente (barras/linhas)</w:t>
      </w:r>
      <w:r w:rsidRPr="000657AF">
        <w:rPr>
          <w:rFonts w:eastAsia="Times New Roman" w:cs="Times New Roman"/>
          <w:sz w:val="24"/>
          <w:szCs w:val="24"/>
          <w:lang w:eastAsia="pt-PT"/>
        </w:rPr>
        <w:t>, permitindo:</w:t>
      </w:r>
    </w:p>
    <w:p w14:paraId="39B5FD6F" w14:textId="77777777" w:rsidR="00EF7C5D" w:rsidRPr="000657AF" w:rsidRDefault="00EF7C5D" w:rsidP="00EF7C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identificação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pontos fracos da rede</w:t>
      </w:r>
      <w:r w:rsidRPr="000657AF">
        <w:rPr>
          <w:rFonts w:eastAsia="Times New Roman" w:cs="Times New Roman"/>
          <w:sz w:val="24"/>
          <w:szCs w:val="24"/>
          <w:lang w:eastAsia="pt-PT"/>
        </w:rPr>
        <w:t>,</w:t>
      </w:r>
    </w:p>
    <w:p w14:paraId="15C86D2F" w14:textId="77777777" w:rsidR="00EF7C5D" w:rsidRPr="000657AF" w:rsidRDefault="00EF7C5D" w:rsidP="00EF7C5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priorização de investimentos.</w:t>
      </w:r>
    </w:p>
    <w:p w14:paraId="45116018" w14:textId="77777777" w:rsidR="00EF7C5D" w:rsidRPr="000657AF" w:rsidRDefault="00EF7C5D" w:rsidP="00EF7C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pt-PT"/>
        </w:rPr>
      </w:pPr>
      <w:r w:rsidRPr="000657AF">
        <w:rPr>
          <w:rFonts w:eastAsia="Times New Roman" w:cs="Times New Roman"/>
          <w:b/>
          <w:bCs/>
          <w:sz w:val="27"/>
          <w:szCs w:val="27"/>
          <w:lang w:eastAsia="pt-PT"/>
        </w:rPr>
        <w:t>2.4 Integração com fenômenos típicos de LT</w:t>
      </w:r>
    </w:p>
    <w:p w14:paraId="46A03F27" w14:textId="77777777" w:rsidR="00EF7C5D" w:rsidRPr="000657AF" w:rsidRDefault="00EF7C5D" w:rsidP="00EF7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Falhas modeladas como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múltiplas saídas de linhas de transmissão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0CA38B1F" w14:textId="77777777" w:rsidR="00EF7C5D" w:rsidRPr="000657AF" w:rsidRDefault="00EF7C5D" w:rsidP="00EF7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Impactos avaliados via:</w:t>
      </w:r>
    </w:p>
    <w:p w14:paraId="791CD077" w14:textId="77777777" w:rsidR="00EF7C5D" w:rsidRPr="000657AF" w:rsidRDefault="00EF7C5D" w:rsidP="00EF7C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violações de tensão,</w:t>
      </w:r>
    </w:p>
    <w:p w14:paraId="61766BE0" w14:textId="77777777" w:rsidR="00EF7C5D" w:rsidRPr="000657AF" w:rsidRDefault="00EF7C5D" w:rsidP="00EF7C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duração da recuperação,</w:t>
      </w:r>
    </w:p>
    <w:p w14:paraId="171559F4" w14:textId="77777777" w:rsidR="00EF7C5D" w:rsidRPr="000657AF" w:rsidRDefault="00EF7C5D" w:rsidP="00EF7C5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frequência das contingências.</w:t>
      </w:r>
    </w:p>
    <w:p w14:paraId="2928967F" w14:textId="77777777" w:rsidR="00EF7C5D" w:rsidRPr="000657AF" w:rsidRDefault="00EF7C5D" w:rsidP="00EF7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Uso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OPF, despacho de geração e ramp rates</w:t>
      </w:r>
      <w:r w:rsidRPr="000657AF">
        <w:rPr>
          <w:rFonts w:eastAsia="Times New Roman" w:cs="Times New Roman"/>
          <w:sz w:val="24"/>
          <w:szCs w:val="24"/>
          <w:lang w:eastAsia="pt-PT"/>
        </w:rPr>
        <w:t>, compatível com ETAP/ANAREDE.</w:t>
      </w:r>
    </w:p>
    <w:p w14:paraId="15224A1A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2DAF4B45">
          <v:rect id="_x0000_i1035" style="width:0;height:1.5pt" o:hralign="center" o:hrstd="t" o:hr="t" fillcolor="#a0a0a0" stroked="f"/>
        </w:pict>
      </w:r>
    </w:p>
    <w:p w14:paraId="5F817141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t>3) Metodologia (engenharia elétrica aplicada)</w:t>
      </w:r>
    </w:p>
    <w:p w14:paraId="03E2B218" w14:textId="77777777" w:rsidR="00EF7C5D" w:rsidRPr="000657AF" w:rsidRDefault="00EF7C5D" w:rsidP="00EF7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Modelagem baseada em:</w:t>
      </w:r>
    </w:p>
    <w:p w14:paraId="2AD6F047" w14:textId="77777777" w:rsidR="00EF7C5D" w:rsidRPr="000657AF" w:rsidRDefault="00EF7C5D" w:rsidP="00EF7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State enumeration + Markov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(frequência das falhas),</w:t>
      </w:r>
    </w:p>
    <w:p w14:paraId="12CC980E" w14:textId="77777777" w:rsidR="00EF7C5D" w:rsidRPr="000657AF" w:rsidRDefault="00EF7C5D" w:rsidP="00EF7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Fluxo de potência e OPF</w:t>
      </w:r>
      <w:r w:rsidRPr="000657AF">
        <w:rPr>
          <w:rFonts w:eastAsia="Times New Roman" w:cs="Times New Roman"/>
          <w:sz w:val="24"/>
          <w:szCs w:val="24"/>
          <w:lang w:eastAsia="pt-PT"/>
        </w:rPr>
        <w:t>,</w:t>
      </w:r>
    </w:p>
    <w:p w14:paraId="4DF216C5" w14:textId="77777777" w:rsidR="00EF7C5D" w:rsidRPr="000657AF" w:rsidRDefault="00EF7C5D" w:rsidP="00EF7C5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Curvas temporais de desempenho Q(t)</w:t>
      </w:r>
      <w:r w:rsidRPr="000657AF">
        <w:rPr>
          <w:rFonts w:eastAsia="Times New Roman" w:cs="Times New Roman"/>
          <w:sz w:val="24"/>
          <w:szCs w:val="24"/>
          <w:lang w:eastAsia="pt-PT"/>
        </w:rPr>
        <w:t>.</w:t>
      </w:r>
    </w:p>
    <w:p w14:paraId="5B605A8F" w14:textId="77777777" w:rsidR="00EF7C5D" w:rsidRPr="000657AF" w:rsidRDefault="00EF7C5D" w:rsidP="00EF7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Índice geral de resiliência:</w:t>
      </w:r>
    </w:p>
    <w:p w14:paraId="1A7EF55F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lastRenderedPageBreak/>
            <m:t>R=∑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pt-PT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pt-PT"/>
            </w:rPr>
            <w:br/>
          </m:r>
        </m:oMath>
      </m:oMathPara>
    </w:p>
    <w:p w14:paraId="1397F3B0" w14:textId="77777777" w:rsidR="00EF7C5D" w:rsidRPr="000657AF" w:rsidRDefault="00EF7C5D" w:rsidP="00EF7C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Aplicação prática no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IEEE RTS-79</w:t>
      </w:r>
      <w:r w:rsidRPr="000657AF">
        <w:rPr>
          <w:rFonts w:eastAsia="Times New Roman" w:cs="Times New Roman"/>
          <w:sz w:val="24"/>
          <w:szCs w:val="24"/>
          <w:lang w:eastAsia="pt-PT"/>
        </w:rPr>
        <w:t>, com análise N-1 a N-3.</w:t>
      </w:r>
    </w:p>
    <w:p w14:paraId="476C66ED" w14:textId="77777777" w:rsidR="00EF7C5D" w:rsidRPr="000657AF" w:rsidRDefault="00EF7C5D" w:rsidP="00EF7C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Avaliação de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medidas de reforço da rede</w:t>
      </w:r>
      <w:r w:rsidRPr="000657AF">
        <w:rPr>
          <w:rFonts w:eastAsia="Times New Roman" w:cs="Times New Roman"/>
          <w:sz w:val="24"/>
          <w:szCs w:val="24"/>
          <w:lang w:eastAsia="pt-PT"/>
        </w:rPr>
        <w:t>:</w:t>
      </w:r>
    </w:p>
    <w:p w14:paraId="24B57096" w14:textId="77777777" w:rsidR="00EF7C5D" w:rsidRPr="000657AF" w:rsidRDefault="00EF7C5D" w:rsidP="00EF7C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manutenção de linhas,</w:t>
      </w:r>
    </w:p>
    <w:p w14:paraId="5FACDFD7" w14:textId="77777777" w:rsidR="00EF7C5D" w:rsidRPr="000657AF" w:rsidRDefault="00EF7C5D" w:rsidP="00EF7C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armazenamento de energia,</w:t>
      </w:r>
    </w:p>
    <w:p w14:paraId="06142189" w14:textId="77777777" w:rsidR="00EF7C5D" w:rsidRPr="000657AF" w:rsidRDefault="00EF7C5D" w:rsidP="00EF7C5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compensação reativa.</w:t>
      </w:r>
    </w:p>
    <w:p w14:paraId="4D5743DC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38E75F16">
          <v:rect id="_x0000_i1036" style="width:0;height:1.5pt" o:hralign="center" o:hrstd="t" o:hr="t" fillcolor="#a0a0a0" stroked="f"/>
        </w:pict>
      </w:r>
    </w:p>
    <w:p w14:paraId="27D32684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t>4) Aderência ao tema da sua tese</w:t>
      </w:r>
    </w:p>
    <w:p w14:paraId="6A795664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Tema da tese: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657AF">
        <w:rPr>
          <w:rFonts w:eastAsia="Times New Roman" w:cs="Times New Roman"/>
          <w:i/>
          <w:iCs/>
          <w:sz w:val="24"/>
          <w:szCs w:val="24"/>
          <w:lang w:eastAsia="pt-PT"/>
        </w:rPr>
        <w:t>Resiliência das Linhas de Transmissão de Energia Elétrica frente a eventos extremos.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297"/>
      </w:tblGrid>
      <w:tr w:rsidR="00EF7C5D" w:rsidRPr="000657AF" w14:paraId="1425CDD5" w14:textId="77777777" w:rsidTr="008041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1C42" w14:textId="77777777" w:rsidR="00EF7C5D" w:rsidRPr="000657AF" w:rsidRDefault="00EF7C5D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ECF953" w14:textId="77777777" w:rsidR="00EF7C5D" w:rsidRPr="000657AF" w:rsidRDefault="00EF7C5D" w:rsidP="008041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b/>
                <w:bCs/>
                <w:sz w:val="24"/>
                <w:szCs w:val="24"/>
                <w:lang w:eastAsia="pt-PT"/>
              </w:rPr>
              <w:t>Avaliação</w:t>
            </w:r>
          </w:p>
        </w:tc>
      </w:tr>
      <w:tr w:rsidR="00EF7C5D" w:rsidRPr="000657AF" w14:paraId="06C6D89A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0E6B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573CE87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Direto</w:t>
            </w:r>
          </w:p>
        </w:tc>
      </w:tr>
      <w:tr w:rsidR="00EF7C5D" w:rsidRPr="000657AF" w14:paraId="6B19F089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5155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Falhas múltiplas</w:t>
            </w:r>
          </w:p>
        </w:tc>
        <w:tc>
          <w:tcPr>
            <w:tcW w:w="0" w:type="auto"/>
            <w:vAlign w:val="center"/>
            <w:hideMark/>
          </w:tcPr>
          <w:p w14:paraId="10ECE500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F7C5D" w:rsidRPr="000657AF" w14:paraId="43BD5280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B92B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3E259B23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F7C5D" w:rsidRPr="000657AF" w14:paraId="050D2866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C899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Base IEEE consolidada</w:t>
            </w:r>
          </w:p>
        </w:tc>
        <w:tc>
          <w:tcPr>
            <w:tcW w:w="0" w:type="auto"/>
            <w:vAlign w:val="center"/>
            <w:hideMark/>
          </w:tcPr>
          <w:p w14:paraId="58A67617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F7C5D" w:rsidRPr="000657AF" w14:paraId="087499B7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94F0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Curva de recuperação</w:t>
            </w:r>
          </w:p>
        </w:tc>
        <w:tc>
          <w:tcPr>
            <w:tcW w:w="0" w:type="auto"/>
            <w:vAlign w:val="center"/>
            <w:hideMark/>
          </w:tcPr>
          <w:p w14:paraId="2405AAC2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F7C5D" w:rsidRPr="000657AF" w14:paraId="166CC393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AEA9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Identificação de fragilidades</w:t>
            </w:r>
          </w:p>
        </w:tc>
        <w:tc>
          <w:tcPr>
            <w:tcW w:w="0" w:type="auto"/>
            <w:vAlign w:val="center"/>
            <w:hideMark/>
          </w:tcPr>
          <w:p w14:paraId="4BEE778A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Sim</w:t>
            </w:r>
          </w:p>
        </w:tc>
      </w:tr>
      <w:tr w:rsidR="00EF7C5D" w:rsidRPr="000657AF" w14:paraId="383D1416" w14:textId="77777777" w:rsidTr="008041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9B18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>Aplicável a eventos climáticos</w:t>
            </w:r>
          </w:p>
        </w:tc>
        <w:tc>
          <w:tcPr>
            <w:tcW w:w="0" w:type="auto"/>
            <w:vAlign w:val="center"/>
            <w:hideMark/>
          </w:tcPr>
          <w:p w14:paraId="0425C682" w14:textId="77777777" w:rsidR="00EF7C5D" w:rsidRPr="000657AF" w:rsidRDefault="00EF7C5D" w:rsidP="008041AE">
            <w:pPr>
              <w:rPr>
                <w:rFonts w:eastAsia="Times New Roman" w:cs="Times New Roman"/>
                <w:sz w:val="24"/>
                <w:szCs w:val="24"/>
                <w:lang w:eastAsia="pt-PT"/>
              </w:rPr>
            </w:pPr>
            <w:r w:rsidRPr="000657AF">
              <w:rPr>
                <w:rFonts w:ascii="Segoe UI Emoji" w:eastAsia="Times New Roman" w:hAnsi="Segoe UI Emoji" w:cs="Segoe UI Emoji"/>
                <w:sz w:val="24"/>
                <w:szCs w:val="24"/>
                <w:lang w:eastAsia="pt-PT"/>
              </w:rPr>
              <w:t>✅</w:t>
            </w:r>
            <w:r w:rsidRPr="000657AF">
              <w:rPr>
                <w:rFonts w:eastAsia="Times New Roman" w:cs="Times New Roman"/>
                <w:sz w:val="24"/>
                <w:szCs w:val="24"/>
                <w:lang w:eastAsia="pt-PT"/>
              </w:rPr>
              <w:t xml:space="preserve"> Indiretamente (via falhas LT)</w:t>
            </w:r>
          </w:p>
        </w:tc>
      </w:tr>
    </w:tbl>
    <w:p w14:paraId="1A3865F0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Altíssima aderência técnica e conceitual.</w:t>
      </w:r>
    </w:p>
    <w:p w14:paraId="00AB68C8" w14:textId="77777777" w:rsidR="00EF7C5D" w:rsidRPr="000657AF" w:rsidRDefault="00EF7C5D" w:rsidP="00EF7C5D">
      <w:pPr>
        <w:rPr>
          <w:rFonts w:eastAsia="Times New Roman" w:cs="Times New Roman"/>
          <w:sz w:val="24"/>
          <w:szCs w:val="24"/>
          <w:lang w:eastAsia="pt-PT"/>
        </w:rPr>
      </w:pPr>
      <w:r>
        <w:rPr>
          <w:rFonts w:eastAsia="Times New Roman" w:cs="Times New Roman"/>
          <w:sz w:val="24"/>
          <w:szCs w:val="24"/>
          <w:lang w:eastAsia="pt-PT"/>
        </w:rPr>
        <w:pict w14:anchorId="1F3795FD">
          <v:rect id="_x0000_i1037" style="width:0;height:1.5pt" o:hralign="center" o:hrstd="t" o:hr="t" fillcolor="#a0a0a0" stroked="f"/>
        </w:pict>
      </w:r>
    </w:p>
    <w:p w14:paraId="4ADF63CC" w14:textId="77777777" w:rsidR="00EF7C5D" w:rsidRPr="000657AF" w:rsidRDefault="00EF7C5D" w:rsidP="00EF7C5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pt-PT"/>
        </w:rPr>
      </w:pPr>
      <w:r w:rsidRPr="000657AF">
        <w:rPr>
          <w:rFonts w:eastAsia="Times New Roman" w:cs="Times New Roman"/>
          <w:b/>
          <w:bCs/>
          <w:sz w:val="36"/>
          <w:szCs w:val="36"/>
          <w:lang w:eastAsia="pt-PT"/>
        </w:rPr>
        <w:t>5) Limitações (para uso crítico na tese)</w:t>
      </w:r>
    </w:p>
    <w:p w14:paraId="77046A37" w14:textId="77777777" w:rsidR="00EF7C5D" w:rsidRPr="000657AF" w:rsidRDefault="00EF7C5D" w:rsidP="00EF7C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Eventos climáticos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não são modelados explicitamente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(vento, gelo, raios etc.).</w:t>
      </w:r>
    </w:p>
    <w:p w14:paraId="7F6BB4DD" w14:textId="77777777" w:rsidR="00EF7C5D" w:rsidRPr="000657AF" w:rsidRDefault="00EF7C5D" w:rsidP="00EF7C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 xml:space="preserve">Falhas são representadas como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outages equivalentes</w:t>
      </w:r>
      <w:r w:rsidRPr="000657AF">
        <w:rPr>
          <w:rFonts w:eastAsia="Times New Roman" w:cs="Times New Roman"/>
          <w:sz w:val="24"/>
          <w:szCs w:val="24"/>
          <w:lang w:eastAsia="pt-PT"/>
        </w:rPr>
        <w:t>, o que é aceitável, mas abre espaço para sua contribuição:</w:t>
      </w:r>
    </w:p>
    <w:p w14:paraId="62069046" w14:textId="77777777" w:rsidR="00EF7C5D" w:rsidRPr="000657AF" w:rsidRDefault="00EF7C5D" w:rsidP="00EF7C5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eastAsia="Times New Roman" w:cs="Times New Roman"/>
          <w:sz w:val="24"/>
          <w:szCs w:val="24"/>
          <w:lang w:eastAsia="pt-PT"/>
        </w:rPr>
        <w:t>mapear clima → taxa de falhas → índice de resiliência.</w:t>
      </w:r>
    </w:p>
    <w:p w14:paraId="30D9AF5D" w14:textId="77777777" w:rsidR="00EF7C5D" w:rsidRPr="000657AF" w:rsidRDefault="00EF7C5D" w:rsidP="00EF7C5D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pt-PT"/>
        </w:rPr>
      </w:pPr>
      <w:r w:rsidRPr="000657AF">
        <w:rPr>
          <w:rFonts w:ascii="Segoe UI Symbol" w:eastAsia="Times New Roman" w:hAnsi="Segoe UI Symbol" w:cs="Segoe UI Symbol"/>
          <w:sz w:val="24"/>
          <w:szCs w:val="24"/>
          <w:lang w:eastAsia="pt-PT"/>
        </w:rPr>
        <w:t>➡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Excelente base para </w:t>
      </w:r>
      <w:r w:rsidRPr="000657AF">
        <w:rPr>
          <w:rFonts w:eastAsia="Times New Roman" w:cs="Times New Roman"/>
          <w:b/>
          <w:bCs/>
          <w:sz w:val="24"/>
          <w:szCs w:val="24"/>
          <w:lang w:eastAsia="pt-PT"/>
        </w:rPr>
        <w:t>evolução metodológica</w:t>
      </w:r>
      <w:r w:rsidRPr="000657AF">
        <w:rPr>
          <w:rFonts w:eastAsia="Times New Roman" w:cs="Times New Roman"/>
          <w:sz w:val="24"/>
          <w:szCs w:val="24"/>
          <w:lang w:eastAsia="pt-PT"/>
        </w:rPr>
        <w:t xml:space="preserve"> no seu doutoramento.</w:t>
      </w:r>
    </w:p>
    <w:p w14:paraId="2A2945C6" w14:textId="77777777" w:rsidR="00EF7C5D" w:rsidRPr="000657AF" w:rsidRDefault="00EF7C5D" w:rsidP="00EF7C5D"/>
    <w:p w14:paraId="3C6ADAE8" w14:textId="77777777" w:rsidR="00EF7C5D" w:rsidRPr="00CD5915" w:rsidRDefault="00EF7C5D" w:rsidP="00CD5915">
      <w:pPr>
        <w:rPr>
          <w:lang w:val="pt-BR"/>
        </w:rPr>
      </w:pPr>
    </w:p>
    <w:sectPr w:rsidR="00EF7C5D" w:rsidRPr="00CD5915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B25"/>
    <w:multiLevelType w:val="multilevel"/>
    <w:tmpl w:val="823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592"/>
    <w:multiLevelType w:val="multilevel"/>
    <w:tmpl w:val="0CF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323C4"/>
    <w:multiLevelType w:val="multilevel"/>
    <w:tmpl w:val="C14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35B4"/>
    <w:multiLevelType w:val="multilevel"/>
    <w:tmpl w:val="D60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0741"/>
    <w:multiLevelType w:val="multilevel"/>
    <w:tmpl w:val="CD2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74B79"/>
    <w:multiLevelType w:val="multilevel"/>
    <w:tmpl w:val="5D5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651E0"/>
    <w:multiLevelType w:val="multilevel"/>
    <w:tmpl w:val="8C0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671FD"/>
    <w:multiLevelType w:val="multilevel"/>
    <w:tmpl w:val="6BE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E5A5F"/>
    <w:multiLevelType w:val="multilevel"/>
    <w:tmpl w:val="857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34FE6"/>
    <w:multiLevelType w:val="multilevel"/>
    <w:tmpl w:val="CD5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E58ED"/>
    <w:multiLevelType w:val="multilevel"/>
    <w:tmpl w:val="921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83187"/>
    <w:multiLevelType w:val="multilevel"/>
    <w:tmpl w:val="7E9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E40EA"/>
    <w:multiLevelType w:val="multilevel"/>
    <w:tmpl w:val="145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73928">
    <w:abstractNumId w:val="9"/>
  </w:num>
  <w:num w:numId="2" w16cid:durableId="1475217244">
    <w:abstractNumId w:val="8"/>
  </w:num>
  <w:num w:numId="3" w16cid:durableId="1068265520">
    <w:abstractNumId w:val="3"/>
  </w:num>
  <w:num w:numId="4" w16cid:durableId="489295612">
    <w:abstractNumId w:val="4"/>
  </w:num>
  <w:num w:numId="5" w16cid:durableId="1896039302">
    <w:abstractNumId w:val="0"/>
  </w:num>
  <w:num w:numId="6" w16cid:durableId="1875457986">
    <w:abstractNumId w:val="7"/>
  </w:num>
  <w:num w:numId="7" w16cid:durableId="1597710351">
    <w:abstractNumId w:val="10"/>
  </w:num>
  <w:num w:numId="8" w16cid:durableId="1827741204">
    <w:abstractNumId w:val="6"/>
  </w:num>
  <w:num w:numId="9" w16cid:durableId="748963321">
    <w:abstractNumId w:val="1"/>
  </w:num>
  <w:num w:numId="10" w16cid:durableId="874392943">
    <w:abstractNumId w:val="2"/>
  </w:num>
  <w:num w:numId="11" w16cid:durableId="592666025">
    <w:abstractNumId w:val="5"/>
  </w:num>
  <w:num w:numId="12" w16cid:durableId="62415463">
    <w:abstractNumId w:val="12"/>
  </w:num>
  <w:num w:numId="13" w16cid:durableId="768113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1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B1727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C1242"/>
    <w:rsid w:val="00BD2C19"/>
    <w:rsid w:val="00BF51C6"/>
    <w:rsid w:val="00C03A12"/>
    <w:rsid w:val="00CC6B35"/>
    <w:rsid w:val="00CD591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EF7C5D"/>
    <w:rsid w:val="00F27993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E436"/>
  <w15:chartTrackingRefBased/>
  <w15:docId w15:val="{4DB7CD93-4515-4AD7-8727-CA33255D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9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9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9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9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915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915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915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915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915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D5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915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D5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1749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2025-05-11T09:07:00Z</dcterms:created>
  <dcterms:modified xsi:type="dcterms:W3CDTF">2026-01-17T11:52:00Z</dcterms:modified>
</cp:coreProperties>
</file>