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859" w14:textId="21A24443" w:rsidR="00AC5231" w:rsidRDefault="00636EF1">
      <w:pPr>
        <w:rPr>
          <w:lang w:val="en-US"/>
        </w:rPr>
      </w:pPr>
      <w:r w:rsidRPr="00636EF1">
        <w:rPr>
          <w:lang w:val="en-US"/>
        </w:rPr>
        <w:t>Quantifying Power System Resiliency Improvement using Network Reconfiguration</w:t>
      </w:r>
    </w:p>
    <w:p w14:paraId="2DF4824F" w14:textId="77777777" w:rsidR="00636EF1" w:rsidRDefault="00636EF1">
      <w:pPr>
        <w:rPr>
          <w:lang w:val="en-US"/>
        </w:rPr>
      </w:pPr>
    </w:p>
    <w:p w14:paraId="30E8D984" w14:textId="77777777" w:rsidR="00B71888" w:rsidRPr="00B71888" w:rsidRDefault="00B71888" w:rsidP="00B718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FED6DA6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a melhoria da resiliência do sistema elétrico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da rede de transmissão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especificamente via:</w:t>
      </w:r>
    </w:p>
    <w:p w14:paraId="02946B33" w14:textId="77777777" w:rsidR="00B71888" w:rsidRPr="00B71888" w:rsidRDefault="00B71888" w:rsidP="00B7188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transmission line switching</w:t>
      </w:r>
      <w:r w:rsidRPr="00B718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(topology control);</w:t>
      </w:r>
    </w:p>
    <w:p w14:paraId="12E13A9A" w14:textId="77777777" w:rsidR="00B71888" w:rsidRPr="00B71888" w:rsidRDefault="00B71888" w:rsidP="00B7188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corretiva pós-evento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91ECD4" w14:textId="77777777" w:rsidR="00B71888" w:rsidRPr="00B71888" w:rsidRDefault="00B71888" w:rsidP="00B7188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da infraestrutura existente,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hardening físico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376B6A" w14:textId="77777777" w:rsidR="00B71888" w:rsidRPr="00B71888" w:rsidRDefault="00B71888" w:rsidP="00B7188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rápida de carga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contingências severas (HILP).</w:t>
      </w:r>
    </w:p>
    <w:p w14:paraId="2B2098A7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central é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recuperação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das linhas.</w:t>
      </w:r>
    </w:p>
    <w:p w14:paraId="1C8CFBA9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23BC18">
          <v:rect id="_x0000_i1025" style="width:0;height:1.5pt" o:hralign="center" o:hrstd="t" o:hr="t" fillcolor="#a0a0a0" stroked="f"/>
        </w:pict>
      </w:r>
    </w:p>
    <w:p w14:paraId="679F56B0" w14:textId="77777777" w:rsidR="00B71888" w:rsidRPr="00B71888" w:rsidRDefault="00B71888" w:rsidP="00B718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</w:t>
      </w:r>
    </w:p>
    <w:p w14:paraId="66CD8509" w14:textId="77777777" w:rsidR="00B71888" w:rsidRPr="00B71888" w:rsidRDefault="00B71888" w:rsidP="00B7188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Abordagem preditiva de reconfiguração</w:t>
      </w:r>
    </w:p>
    <w:p w14:paraId="7575A812" w14:textId="77777777" w:rsidR="00B71888" w:rsidRPr="00B71888" w:rsidRDefault="00B71888" w:rsidP="00B718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 de estratégias puramente reativas, o artigo propõe:</w:t>
      </w:r>
    </w:p>
    <w:p w14:paraId="3DBDB9C5" w14:textId="77777777" w:rsidR="00B71888" w:rsidRPr="00B71888" w:rsidRDefault="00B71888" w:rsidP="00B7188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planos de reconfiguração previamente calculados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acionados após a ocorrência do evento;</w:t>
      </w:r>
    </w:p>
    <w:p w14:paraId="328C7E87" w14:textId="77777777" w:rsidR="00B71888" w:rsidRPr="00B71888" w:rsidRDefault="00B71888" w:rsidP="00B718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 Optimal Power Flow com variáveis binárias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decidir:</w:t>
      </w:r>
    </w:p>
    <w:p w14:paraId="52DED137" w14:textId="77777777" w:rsidR="00B71888" w:rsidRPr="00B71888" w:rsidRDefault="00B71888" w:rsidP="00B7188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quais linhas desligar,</w:t>
      </w:r>
    </w:p>
    <w:p w14:paraId="490D1275" w14:textId="77777777" w:rsidR="00B71888" w:rsidRPr="00B71888" w:rsidRDefault="00B71888" w:rsidP="00B7188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redispatchar geração,</w:t>
      </w:r>
    </w:p>
    <w:p w14:paraId="1589E66D" w14:textId="77777777" w:rsidR="00B71888" w:rsidRPr="00B71888" w:rsidRDefault="00B71888" w:rsidP="00B7188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maximizar a recuperação de carga.</w:t>
      </w:r>
    </w:p>
    <w:p w14:paraId="6659A7DB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válida no domínio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89689C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F38CCF">
          <v:rect id="_x0000_i1026" style="width:0;height:1.5pt" o:hralign="center" o:hrstd="t" o:hr="t" fillcolor="#a0a0a0" stroked="f"/>
        </w:pict>
      </w:r>
    </w:p>
    <w:p w14:paraId="6A7ED94C" w14:textId="77777777" w:rsidR="00B71888" w:rsidRPr="00B71888" w:rsidRDefault="00B71888" w:rsidP="00B7188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de três métricas de resiliência operacional</w:t>
      </w:r>
    </w:p>
    <w:p w14:paraId="1F633465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três índices quantitativos:</w:t>
      </w:r>
    </w:p>
    <w:p w14:paraId="3BDDBCDD" w14:textId="77777777" w:rsidR="00B71888" w:rsidRPr="00B71888" w:rsidRDefault="00B71888" w:rsidP="00B7188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do sistema (λ)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razão entre carga servida após a reconfiguração e carga total normal.</w:t>
      </w:r>
    </w:p>
    <w:p w14:paraId="44A350A3" w14:textId="77777777" w:rsidR="00B71888" w:rsidRPr="00B71888" w:rsidRDefault="00B71888" w:rsidP="00B7188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 (ϑ)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percentagem da carga perdida que é recuperada a cada iteração.</w:t>
      </w:r>
    </w:p>
    <w:p w14:paraId="48595BB3" w14:textId="77777777" w:rsidR="00B71888" w:rsidRPr="00B71888" w:rsidRDefault="00B71888" w:rsidP="00B7188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de custo de interrupção (μ)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redução do custo associado ao corte de carga.</w:t>
      </w:r>
    </w:p>
    <w:p w14:paraId="271FBDBE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métricas são avaliadas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função do tempo de execução das manobras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(10, 20, 30, 40 min).</w:t>
      </w:r>
    </w:p>
    <w:p w14:paraId="07BEE217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coerentes, porém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operacionais e locais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F44B72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16D9B7E">
          <v:rect id="_x0000_i1027" style="width:0;height:1.5pt" o:hralign="center" o:hrstd="t" o:hr="t" fillcolor="#a0a0a0" stroked="f"/>
        </w:pict>
      </w:r>
    </w:p>
    <w:p w14:paraId="76FF2C01" w14:textId="77777777" w:rsidR="00B71888" w:rsidRPr="00B71888" w:rsidRDefault="00B71888" w:rsidP="00B7188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Demonstração em sistema IEEE 118 barras</w:t>
      </w:r>
    </w:p>
    <w:p w14:paraId="3648092A" w14:textId="77777777" w:rsidR="00B71888" w:rsidRPr="00B71888" w:rsidRDefault="00B71888" w:rsidP="00B718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de estudo com:</w:t>
      </w:r>
    </w:p>
    <w:p w14:paraId="04947231" w14:textId="77777777" w:rsidR="00B71888" w:rsidRPr="00B71888" w:rsidRDefault="00B71888" w:rsidP="00B7188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do maior gerador (G13 – 805 MW);</w:t>
      </w:r>
    </w:p>
    <w:p w14:paraId="4DED84C9" w14:textId="77777777" w:rsidR="00B71888" w:rsidRPr="00B71888" w:rsidRDefault="00B71888" w:rsidP="00B7188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2C0BFBB2" w14:textId="77777777" w:rsidR="00B71888" w:rsidRPr="00B71888" w:rsidRDefault="00B71888" w:rsidP="00B71888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 apenas,</w:t>
      </w:r>
    </w:p>
    <w:p w14:paraId="62C3ABFC" w14:textId="77777777" w:rsidR="00B71888" w:rsidRPr="00B71888" w:rsidRDefault="00B71888" w:rsidP="00B71888">
      <w:pPr>
        <w:numPr>
          <w:ilvl w:val="2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 + reconfiguração;</w:t>
      </w:r>
    </w:p>
    <w:p w14:paraId="07A9D7F7" w14:textId="77777777" w:rsidR="00B71888" w:rsidRPr="00B71888" w:rsidRDefault="00B71888" w:rsidP="00B718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mostram recuperação de até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≈99% da carga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20 minutos com múltiplas manobras.</w:t>
      </w:r>
    </w:p>
    <w:p w14:paraId="19CEC40C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eficácia da topologia flexível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mitigação de impactos.</w:t>
      </w:r>
    </w:p>
    <w:p w14:paraId="2C43C55F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F316BF">
          <v:rect id="_x0000_i1028" style="width:0;height:1.5pt" o:hralign="center" o:hrstd="t" o:hr="t" fillcolor="#a0a0a0" stroked="f"/>
        </w:pict>
      </w:r>
    </w:p>
    <w:p w14:paraId="3EF78C27" w14:textId="77777777" w:rsidR="00B71888" w:rsidRPr="00B71888" w:rsidRDefault="00B71888" w:rsidP="00B718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(em relação à sua tese)</w:t>
      </w:r>
    </w:p>
    <w:p w14:paraId="39C88850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D223E3A" w14:textId="77777777" w:rsidR="00B71888" w:rsidRPr="00B71888" w:rsidRDefault="00B71888" w:rsidP="00B718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explicitamente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5BA16C2" w14:textId="77777777" w:rsidR="00B71888" w:rsidRPr="00B71888" w:rsidRDefault="00B71888" w:rsidP="00B7188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vento, gelo, chuva, temperatura;</w:t>
      </w:r>
    </w:p>
    <w:p w14:paraId="4F07C23A" w14:textId="77777777" w:rsidR="00B71888" w:rsidRPr="00B71888" w:rsidRDefault="00B71888" w:rsidP="00B718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usa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B31C49" w14:textId="77777777" w:rsidR="00B71888" w:rsidRPr="00B71888" w:rsidRDefault="00B71888" w:rsidP="00B718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são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abstratas ou determinísticas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(contingência fixa);</w:t>
      </w:r>
    </w:p>
    <w:p w14:paraId="2D5107F8" w14:textId="77777777" w:rsidR="00B71888" w:rsidRPr="00B71888" w:rsidRDefault="00B71888" w:rsidP="00B718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são tratadas como:</w:t>
      </w:r>
    </w:p>
    <w:p w14:paraId="18AB7ADB" w14:textId="77777777" w:rsidR="00B71888" w:rsidRPr="00B71888" w:rsidRDefault="00B71888" w:rsidP="00B7188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binários (on/off),</w:t>
      </w:r>
    </w:p>
    <w:p w14:paraId="0594DB29" w14:textId="77777777" w:rsidR="00B71888" w:rsidRPr="00B71888" w:rsidRDefault="00B71888" w:rsidP="00B7188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diferenciação estrutural;</w:t>
      </w:r>
    </w:p>
    <w:p w14:paraId="3AA85ED4" w14:textId="77777777" w:rsidR="00B71888" w:rsidRPr="00B71888" w:rsidRDefault="00B71888" w:rsidP="00B718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interpretada quase exclusivamente como:</w:t>
      </w:r>
    </w:p>
    <w:p w14:paraId="684AC7ED" w14:textId="77777777" w:rsidR="00B71888" w:rsidRPr="00B71888" w:rsidRDefault="00B71888" w:rsidP="00B7188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de restauração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7E4B1EE" w14:textId="77777777" w:rsidR="00B71888" w:rsidRPr="00B71888" w:rsidRDefault="00B71888" w:rsidP="00B7188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de carga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8AC157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mede mitigação operacional, não resiliência física das linhas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280431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BCA5C2">
          <v:rect id="_x0000_i1029" style="width:0;height:1.5pt" o:hralign="center" o:hrstd="t" o:hr="t" fillcolor="#a0a0a0" stroked="f"/>
        </w:pict>
      </w:r>
    </w:p>
    <w:p w14:paraId="7B35A09E" w14:textId="77777777" w:rsidR="00B71888" w:rsidRPr="00B71888" w:rsidRDefault="00B71888" w:rsidP="00B718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35FBEEA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7188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965"/>
      </w:tblGrid>
      <w:tr w:rsidR="00B71888" w:rsidRPr="00B71888" w14:paraId="65739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BF80B" w14:textId="77777777" w:rsidR="00B71888" w:rsidRPr="00B71888" w:rsidRDefault="00B71888" w:rsidP="00B7188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0D77A18" w14:textId="77777777" w:rsidR="00B71888" w:rsidRPr="00B71888" w:rsidRDefault="00B71888" w:rsidP="00B7188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71888" w:rsidRPr="00B71888" w14:paraId="3E78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8B4F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90C0DBF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  <w:tr w:rsidR="00B71888" w:rsidRPr="00B71888" w14:paraId="334C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358A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6FDAADD8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modelados</w:t>
            </w:r>
          </w:p>
        </w:tc>
      </w:tr>
      <w:tr w:rsidR="00B71888" w:rsidRPr="00B71888" w14:paraId="0CFE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70F6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19C74711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B71888" w:rsidRPr="00B71888" w14:paraId="443C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4365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258040A7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B71888" w:rsidRPr="00B71888" w14:paraId="4E60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4E35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4CEA2A29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Operacionais</w:t>
            </w:r>
          </w:p>
        </w:tc>
      </w:tr>
      <w:tr w:rsidR="00B71888" w:rsidRPr="00B71888" w14:paraId="2FCF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4D7D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Relevância para LT</w:t>
            </w:r>
          </w:p>
        </w:tc>
        <w:tc>
          <w:tcPr>
            <w:tcW w:w="0" w:type="auto"/>
            <w:vAlign w:val="center"/>
            <w:hideMark/>
          </w:tcPr>
          <w:p w14:paraId="3674899B" w14:textId="77777777" w:rsidR="00B71888" w:rsidRPr="00B71888" w:rsidRDefault="00B71888" w:rsidP="00B7188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7188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7188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Complementar</w:t>
            </w:r>
          </w:p>
        </w:tc>
      </w:tr>
    </w:tbl>
    <w:p w14:paraId="510FD7E7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aderência direta ao foco da tese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DA9647" w14:textId="77777777" w:rsidR="00B71888" w:rsidRPr="00B71888" w:rsidRDefault="00B71888" w:rsidP="00B718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2FCD6E">
          <v:rect id="_x0000_i1030" style="width:0;height:1.5pt" o:hralign="center" o:hrstd="t" o:hr="t" fillcolor="#a0a0a0" stroked="f"/>
        </w:pict>
      </w:r>
    </w:p>
    <w:p w14:paraId="47C40812" w14:textId="77777777" w:rsidR="00B71888" w:rsidRPr="00B71888" w:rsidRDefault="00B71888" w:rsidP="00B718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Como este artigo pode ser usado (se for mantido)</w:t>
      </w:r>
    </w:p>
    <w:p w14:paraId="4676720E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secundário e bem delimitado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exemplo:</w:t>
      </w:r>
    </w:p>
    <w:p w14:paraId="490262EB" w14:textId="77777777" w:rsidR="00B71888" w:rsidRPr="00B71888" w:rsidRDefault="00B71888" w:rsidP="00B718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claramente:</w:t>
      </w:r>
    </w:p>
    <w:p w14:paraId="7B99B76C" w14:textId="77777777" w:rsidR="00B71888" w:rsidRPr="00B71888" w:rsidRDefault="00B71888" w:rsidP="00B7188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(linhas)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(topologia)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1E9335" w14:textId="77777777" w:rsidR="00B71888" w:rsidRPr="00B71888" w:rsidRDefault="00B71888" w:rsidP="00B718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57024486" w14:textId="77777777" w:rsidR="00B71888" w:rsidRPr="00B71888" w:rsidRDefault="00B71888" w:rsidP="00B718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reconfiguração não aumenta a resistência física da rede, apenas mitiga consequências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0BB494" w14:textId="77777777" w:rsidR="00B71888" w:rsidRPr="00B71888" w:rsidRDefault="00B71888" w:rsidP="00B718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respostas de curto prazo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falhas.</w:t>
      </w:r>
    </w:p>
    <w:p w14:paraId="151B5AD3" w14:textId="77777777" w:rsidR="00B71888" w:rsidRPr="00B71888" w:rsidRDefault="00B71888" w:rsidP="00B718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7188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718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 como base metodológica</w:t>
      </w:r>
      <w:r w:rsidRPr="00B718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de resiliência.</w:t>
      </w:r>
    </w:p>
    <w:p w14:paraId="3061ED85" w14:textId="77777777" w:rsidR="00636EF1" w:rsidRPr="00636EF1" w:rsidRDefault="00636EF1">
      <w:pPr>
        <w:rPr>
          <w:lang w:val="en-US"/>
        </w:rPr>
      </w:pPr>
    </w:p>
    <w:sectPr w:rsidR="00636EF1" w:rsidRPr="00636EF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C52"/>
    <w:multiLevelType w:val="multilevel"/>
    <w:tmpl w:val="A52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5F24"/>
    <w:multiLevelType w:val="multilevel"/>
    <w:tmpl w:val="5F0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D2DF5"/>
    <w:multiLevelType w:val="multilevel"/>
    <w:tmpl w:val="944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B7EF6"/>
    <w:multiLevelType w:val="multilevel"/>
    <w:tmpl w:val="012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16364"/>
    <w:multiLevelType w:val="multilevel"/>
    <w:tmpl w:val="839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C783D"/>
    <w:multiLevelType w:val="multilevel"/>
    <w:tmpl w:val="FD9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5265">
    <w:abstractNumId w:val="2"/>
  </w:num>
  <w:num w:numId="2" w16cid:durableId="2062363851">
    <w:abstractNumId w:val="3"/>
  </w:num>
  <w:num w:numId="3" w16cid:durableId="1382830637">
    <w:abstractNumId w:val="1"/>
  </w:num>
  <w:num w:numId="4" w16cid:durableId="1873612073">
    <w:abstractNumId w:val="5"/>
  </w:num>
  <w:num w:numId="5" w16cid:durableId="204761557">
    <w:abstractNumId w:val="0"/>
  </w:num>
  <w:num w:numId="6" w16cid:durableId="155344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F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36EF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1888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D19E1"/>
  <w15:chartTrackingRefBased/>
  <w15:docId w15:val="{F4C80746-C640-42C1-87FE-C15340C7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F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F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F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F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F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3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F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36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8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71888"/>
    <w:rPr>
      <w:b/>
      <w:bCs/>
    </w:rPr>
  </w:style>
  <w:style w:type="character" w:styleId="Emphasis">
    <w:name w:val="Emphasis"/>
    <w:basedOn w:val="DefaultParagraphFont"/>
    <w:uiPriority w:val="20"/>
    <w:qFormat/>
    <w:rsid w:val="00B718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2026-01-01T20:43:00Z</dcterms:created>
  <dcterms:modified xsi:type="dcterms:W3CDTF">2026-01-01T20:45:00Z</dcterms:modified>
</cp:coreProperties>
</file>