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CA61" w14:textId="77777777" w:rsidR="004719B6" w:rsidRDefault="004719B6" w:rsidP="004719B6">
      <w:r>
        <w:t>Título: Availability-based Engineering Resilience Metric and Its Corresponding Evaluation Methodology</w:t>
      </w:r>
    </w:p>
    <w:p w14:paraId="7935FCF5" w14:textId="77777777" w:rsidR="004719B6" w:rsidRDefault="004719B6" w:rsidP="004719B6"/>
    <w:p w14:paraId="7D79C659" w14:textId="77777777" w:rsidR="004719B6" w:rsidRDefault="004719B6" w:rsidP="004719B6">
      <w:r>
        <w:t>Autores: Baoping Cai, Min Xie, Yonghong Liu, Yiliu Liu, Qiang Feng</w:t>
      </w:r>
    </w:p>
    <w:p w14:paraId="65B4D17B" w14:textId="77777777" w:rsidR="004719B6" w:rsidRDefault="004719B6" w:rsidP="004719B6"/>
    <w:p w14:paraId="43BB3FBD" w14:textId="77777777" w:rsidR="004719B6" w:rsidRDefault="004719B6" w:rsidP="004719B6">
      <w:r>
        <w:t>Afiliações: China University of Petroleum, City University of Hong Kong, Norwegian University of Science and Technology, Beihang University</w:t>
      </w:r>
    </w:p>
    <w:p w14:paraId="670512B7" w14:textId="77777777" w:rsidR="004719B6" w:rsidRDefault="004719B6" w:rsidP="004719B6"/>
    <w:p w14:paraId="018915CC" w14:textId="0F7D7CB2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Resumo do Abstract</w:t>
      </w:r>
    </w:p>
    <w:p w14:paraId="0315E850" w14:textId="77777777" w:rsidR="004719B6" w:rsidRDefault="004719B6" w:rsidP="004719B6">
      <w:pPr>
        <w:rPr>
          <w:lang w:val="pt-BR"/>
        </w:rPr>
      </w:pPr>
      <w:r w:rsidRPr="004719B6">
        <w:rPr>
          <w:lang w:val="pt-BR"/>
        </w:rPr>
        <w:t>O artigo propõe uma nova métrica de resiliência baseada em disponibilidade para sistemas de engenharia, considerando a resiliência como uma capacidade intrínseca do sistema determinada por sua estrutura e pelos recursos de manutenção. A métrica é avaliada por meio de redes bayesianas dinâmicas, sendo aplicável a sistemas compostos em série, paralelo, votação e também a uma rede elétrica de nove barras. O estudo demonstra como a resiliência pode ser usada para orientar decisões de planejamento, projeto e operação de sistemas críticos.</w:t>
      </w:r>
    </w:p>
    <w:p w14:paraId="21C3DD7C" w14:textId="77777777" w:rsidR="004719B6" w:rsidRPr="004719B6" w:rsidRDefault="004719B6" w:rsidP="004719B6">
      <w:pPr>
        <w:rPr>
          <w:lang w:val="pt-BR"/>
        </w:rPr>
      </w:pPr>
    </w:p>
    <w:p w14:paraId="7A7DF730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1. Introdução</w:t>
      </w:r>
    </w:p>
    <w:p w14:paraId="4D80E5A2" w14:textId="77777777" w:rsidR="004719B6" w:rsidRDefault="004719B6" w:rsidP="004719B6">
      <w:pPr>
        <w:rPr>
          <w:lang w:val="pt-BR"/>
        </w:rPr>
      </w:pPr>
      <w:r w:rsidRPr="004719B6">
        <w:rPr>
          <w:lang w:val="pt-BR"/>
        </w:rPr>
        <w:t>A resiliência é definida como a capacidade de um sistema se recuperar de choques disruptivos. O artigo discute a carência de métricas uniformes para resiliência em sistemas de engenharia e propõe uma abordagem baseada em disponibilidade. Ao contrário de outras abordagens que consideram fatores externos, esta métrica foca exclusivamente em propriedades intrínsecas do sistema: estrutura (robustez, redundância, flexibilidade) e recursos de manutenção (reparabilidade, tempo de recuperação).</w:t>
      </w:r>
    </w:p>
    <w:p w14:paraId="1F52777A" w14:textId="77777777" w:rsidR="004719B6" w:rsidRPr="004719B6" w:rsidRDefault="004719B6" w:rsidP="004719B6">
      <w:pPr>
        <w:rPr>
          <w:lang w:val="pt-BR"/>
        </w:rPr>
      </w:pPr>
    </w:p>
    <w:p w14:paraId="64F64673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2. Metodologia</w:t>
      </w:r>
    </w:p>
    <w:p w14:paraId="56F9985F" w14:textId="77777777" w:rsidR="004719B6" w:rsidRDefault="004719B6" w:rsidP="004719B6">
      <w:pPr>
        <w:rPr>
          <w:lang w:val="pt-BR"/>
        </w:rPr>
      </w:pPr>
      <w:r w:rsidRPr="004719B6">
        <w:rPr>
          <w:lang w:val="pt-BR"/>
        </w:rPr>
        <w:t>A métrica proposta baseia-se em dois parâmetros principais: a disponibilidade em estado estacionário (A) e o tempo necessário para atingir esse estado (t), tanto antes quanto após um choque. A resiliência é calculada como o produto entre A/log(t) para os períodos pré e pós-evento. A metodologia de avaliação utiliza Redes Bayesianas Dinâmicas para modelar a degradação e recuperação de componentes em sistemas binários (funciona/falha), com probabilidades condicionais e relações causais entre os estados dos componentes ao longo do tempo.</w:t>
      </w:r>
    </w:p>
    <w:p w14:paraId="6DFB4856" w14:textId="77777777" w:rsidR="00264441" w:rsidRDefault="00264441" w:rsidP="004719B6">
      <w:pPr>
        <w:rPr>
          <w:lang w:val="pt-BR"/>
        </w:rPr>
      </w:pPr>
    </w:p>
    <w:p w14:paraId="05D86C17" w14:textId="2E6FE991" w:rsidR="00264441" w:rsidRDefault="00264441" w:rsidP="00264441">
      <w:pPr>
        <w:rPr>
          <w:lang w:val="pt-BR"/>
        </w:rPr>
      </w:pPr>
      <w:r w:rsidRPr="00264441">
        <w:rPr>
          <w:lang w:val="pt-BR"/>
        </w:rPr>
        <w:t>Neste</w:t>
      </w:r>
      <w:r>
        <w:rPr>
          <w:lang w:val="pt-BR"/>
        </w:rPr>
        <w:t xml:space="preserve"> </w:t>
      </w:r>
      <w:r w:rsidRPr="00264441">
        <w:rPr>
          <w:lang w:val="pt-BR"/>
        </w:rPr>
        <w:t>trabalho atual, é proposta uma metodologia de avaliação baseada em redes bayesianas dinâmicas para calcular a disponibilidade em estado estável, a disponibilidade em estado estável e</w:t>
      </w:r>
      <w:r>
        <w:rPr>
          <w:lang w:val="pt-BR"/>
        </w:rPr>
        <w:t xml:space="preserve"> </w:t>
      </w:r>
      <w:r w:rsidRPr="00264441">
        <w:rPr>
          <w:lang w:val="pt-BR"/>
        </w:rPr>
        <w:t>tempo estável e a resiliência subsequente dos sistemas de engenharia</w:t>
      </w:r>
      <w:r>
        <w:rPr>
          <w:lang w:val="pt-BR"/>
        </w:rPr>
        <w:t xml:space="preserve">. </w:t>
      </w:r>
      <w:r w:rsidRPr="00264441">
        <w:rPr>
          <w:lang w:val="pt-BR"/>
        </w:rPr>
        <w:t>A rede bayesiana é um</w:t>
      </w:r>
      <w:r>
        <w:rPr>
          <w:lang w:val="pt-BR"/>
        </w:rPr>
        <w:t xml:space="preserve"> </w:t>
      </w:r>
      <w:r w:rsidRPr="00264441">
        <w:rPr>
          <w:lang w:val="pt-BR"/>
        </w:rPr>
        <w:t>modelo gráfico probabilístico que representa um conjunto de variáveis aleatórias, incluindo suas dependências condicionais, por meio de</w:t>
      </w:r>
      <w:r>
        <w:rPr>
          <w:lang w:val="pt-BR"/>
        </w:rPr>
        <w:t xml:space="preserve"> </w:t>
      </w:r>
      <w:r w:rsidRPr="00264441">
        <w:rPr>
          <w:lang w:val="pt-BR"/>
        </w:rPr>
        <w:t>gráficos acíclicos direcionados</w:t>
      </w:r>
      <w:r>
        <w:rPr>
          <w:lang w:val="pt-BR"/>
        </w:rPr>
        <w:t>.</w:t>
      </w:r>
    </w:p>
    <w:p w14:paraId="64959BCF" w14:textId="77777777" w:rsidR="00B429E5" w:rsidRDefault="00B429E5" w:rsidP="00264441">
      <w:pPr>
        <w:rPr>
          <w:lang w:val="pt-BR"/>
        </w:rPr>
      </w:pPr>
    </w:p>
    <w:p w14:paraId="5F69203B" w14:textId="7365A4A5" w:rsidR="00264441" w:rsidRPr="00264441" w:rsidRDefault="00B429E5" w:rsidP="004719B6">
      <w:pPr>
        <w:rPr>
          <w:lang w:val="pt-BR"/>
        </w:rPr>
      </w:pPr>
      <w:r w:rsidRPr="00B429E5">
        <w:rPr>
          <w:lang w:val="pt-BR"/>
        </w:rPr>
        <w:t>Consideramos a resiliência como um recurso intrínseco e um atributo inerente do próprio sistema de engenharia. Ela não é influenciada por fatores externos</w:t>
      </w:r>
      <w:r>
        <w:rPr>
          <w:lang w:val="pt-BR"/>
        </w:rPr>
        <w:t xml:space="preserve"> </w:t>
      </w:r>
      <w:r w:rsidRPr="00B429E5">
        <w:rPr>
          <w:lang w:val="pt-BR"/>
        </w:rPr>
        <w:t xml:space="preserve">fatores externos, como distúrbios, </w:t>
      </w:r>
      <w:r w:rsidRPr="00B429E5">
        <w:rPr>
          <w:lang w:val="pt-BR"/>
        </w:rPr>
        <w:lastRenderedPageBreak/>
        <w:t>ataques e desastres</w:t>
      </w:r>
      <w:r>
        <w:rPr>
          <w:lang w:val="pt-BR"/>
        </w:rPr>
        <w:t xml:space="preserve">. </w:t>
      </w:r>
      <w:r w:rsidRPr="00B429E5">
        <w:rPr>
          <w:lang w:val="pt-BR"/>
        </w:rPr>
        <w:t>A métrica de resiliência baseada em disponibilidade desenvolvida neste estudo envolve as propriedades relacionadas ao desempenho e ao tempo do sistema de engenharia, mas não os fatores externos.</w:t>
      </w:r>
      <w:r>
        <w:rPr>
          <w:lang w:val="pt-BR"/>
        </w:rPr>
        <w:t xml:space="preserve"> </w:t>
      </w:r>
      <w:r w:rsidRPr="00B429E5">
        <w:rPr>
          <w:lang w:val="pt-BR"/>
        </w:rPr>
        <w:t>Adotamos a disponibilidade em estado estável e o tempo em estado estável antes e depois de vários choques para definir a métrica. Portanto, o valor da resiliência</w:t>
      </w:r>
      <w:r>
        <w:rPr>
          <w:lang w:val="pt-BR"/>
        </w:rPr>
        <w:t xml:space="preserve"> </w:t>
      </w:r>
      <w:r w:rsidRPr="00B429E5">
        <w:rPr>
          <w:lang w:val="pt-BR"/>
        </w:rPr>
        <w:t>do sistema é determinado quando um sistema é desenvolvido e os recursos de reparo são atribuídos e fixados nesse sistema. O valor da resiliência é</w:t>
      </w:r>
      <w:r>
        <w:rPr>
          <w:lang w:val="pt-BR"/>
        </w:rPr>
        <w:t xml:space="preserve"> </w:t>
      </w:r>
      <w:r w:rsidRPr="00B429E5">
        <w:rPr>
          <w:lang w:val="pt-BR"/>
        </w:rPr>
        <w:t>útil no planejamento, projeto, operação, construção e gerenciamento</w:t>
      </w:r>
      <w:r>
        <w:rPr>
          <w:lang w:val="pt-BR"/>
        </w:rPr>
        <w:t xml:space="preserve"> </w:t>
      </w:r>
      <w:r w:rsidRPr="00B429E5">
        <w:rPr>
          <w:lang w:val="pt-BR"/>
        </w:rPr>
        <w:t>de um sistema de engenharia. Quando ocorre um incidente de emergência (por exemplo,</w:t>
      </w:r>
      <w:r>
        <w:rPr>
          <w:lang w:val="pt-BR"/>
        </w:rPr>
        <w:t xml:space="preserve"> </w:t>
      </w:r>
      <w:r w:rsidRPr="00B429E5">
        <w:rPr>
          <w:lang w:val="pt-BR"/>
        </w:rPr>
        <w:t>um terremoto destrói alguns componentes de um sistema de rede elétrica), embora algumas equipes de manutenção de emergência fora do sistema possam ser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designadas para esse sistema e, portanto, reduzam o tempo de reparo, o sistema primário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sistema primário não possui esse recurso intrínseco. Portanto, as ações de reparo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as ações de reparo das equipes de manutenção de emergência de outros sistemas não podem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melhorar a resiliência desse sistema. Outro exemplo são dois sistemas semelhantes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em áreas propensas a terremotos e em áreas não propensas a terremotos; esses sistemas devem ter os mesmos valores de resiliência quando as mesmas equipes de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manutenção estiverem envolvidas, pois os sistemas têm a mesma capacidade de sofrer com um terremoto e se recuperar da destruição. Para melhorar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a capacidade contra terremotos, deve-se melhorar o desempenho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do sistema ou aumentar as equipes de manutenção do próprio sistema, mas</w:t>
      </w:r>
      <w:r w:rsidR="00830E29">
        <w:rPr>
          <w:lang w:val="pt-BR"/>
        </w:rPr>
        <w:t xml:space="preserve"> </w:t>
      </w:r>
      <w:r w:rsidRPr="00B429E5">
        <w:rPr>
          <w:lang w:val="pt-BR"/>
        </w:rPr>
        <w:t>não obter ajuda de outros sistemas</w:t>
      </w:r>
      <w:r w:rsidR="00830E29">
        <w:rPr>
          <w:lang w:val="pt-BR"/>
        </w:rPr>
        <w:t>.</w:t>
      </w:r>
    </w:p>
    <w:p w14:paraId="52BEB0F8" w14:textId="77777777" w:rsidR="004719B6" w:rsidRPr="00264441" w:rsidRDefault="004719B6" w:rsidP="004719B6">
      <w:pPr>
        <w:rPr>
          <w:lang w:val="pt-BR"/>
        </w:rPr>
      </w:pPr>
    </w:p>
    <w:p w14:paraId="4057523F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3. Resultados</w:t>
      </w:r>
    </w:p>
    <w:p w14:paraId="70FB1DA4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Foram analisados três sistemas compostos (S3P3V3, S2P3V3, S3P2V3) e uma rede elétrica real (nove-barras). Os resultados mostram que:</w:t>
      </w:r>
    </w:p>
    <w:p w14:paraId="6CAD05DA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- Redundância estrutural aumenta significativamente a resiliência;</w:t>
      </w:r>
    </w:p>
    <w:p w14:paraId="44C65DFA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- Taxas de falha maiores reduzem a resiliência de forma não-linear;</w:t>
      </w:r>
    </w:p>
    <w:p w14:paraId="09101B50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- Taxas de reparo maiores aumentam a resiliência com sensibilidade variável por tipo de componente;</w:t>
      </w:r>
    </w:p>
    <w:p w14:paraId="49F47739" w14:textId="77777777" w:rsidR="004719B6" w:rsidRDefault="004719B6" w:rsidP="004719B6">
      <w:pPr>
        <w:rPr>
          <w:lang w:val="pt-BR"/>
        </w:rPr>
      </w:pPr>
      <w:r w:rsidRPr="004719B6">
        <w:rPr>
          <w:lang w:val="pt-BR"/>
        </w:rPr>
        <w:t>- A rede de nove-barras apresentou resiliência de 0,54%.</w:t>
      </w:r>
    </w:p>
    <w:p w14:paraId="789867F1" w14:textId="77777777" w:rsidR="004719B6" w:rsidRPr="004719B6" w:rsidRDefault="004719B6" w:rsidP="004719B6">
      <w:pPr>
        <w:rPr>
          <w:lang w:val="pt-BR"/>
        </w:rPr>
      </w:pPr>
    </w:p>
    <w:p w14:paraId="428E9129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4. Discussão</w:t>
      </w:r>
    </w:p>
    <w:p w14:paraId="7263A85C" w14:textId="77777777" w:rsidR="004719B6" w:rsidRDefault="004719B6" w:rsidP="004719B6">
      <w:pPr>
        <w:rPr>
          <w:lang w:val="pt-BR"/>
        </w:rPr>
      </w:pPr>
      <w:r w:rsidRPr="004719B6">
        <w:rPr>
          <w:lang w:val="pt-BR"/>
        </w:rPr>
        <w:t>A abordagem distingue-se ao considerar a resiliência como uma característica exclusivamente do sistema, e não dos eventos externos. As redes bayesianas dinâmicas permitem simular choques múltiplos e inferir estados futuros do sistema. A análise de sensibilidade mostrou que os componentes em série afetam mais a resiliência do que os paralelos ou de votação. A metodologia pode ser estendida para sistemas multivalorados e topologias mais complexas.</w:t>
      </w:r>
    </w:p>
    <w:p w14:paraId="514E3984" w14:textId="77777777" w:rsidR="004719B6" w:rsidRPr="004719B6" w:rsidRDefault="004719B6" w:rsidP="004719B6">
      <w:pPr>
        <w:rPr>
          <w:lang w:val="pt-BR"/>
        </w:rPr>
      </w:pPr>
    </w:p>
    <w:p w14:paraId="743EC2C9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5. Conclusão Crítica</w:t>
      </w:r>
    </w:p>
    <w:p w14:paraId="26C3927B" w14:textId="77777777" w:rsidR="004719B6" w:rsidRDefault="004719B6" w:rsidP="004719B6">
      <w:pPr>
        <w:rPr>
          <w:lang w:val="pt-BR"/>
        </w:rPr>
      </w:pPr>
      <w:r w:rsidRPr="004719B6">
        <w:rPr>
          <w:lang w:val="pt-BR"/>
        </w:rPr>
        <w:t xml:space="preserve">A métrica baseada em disponibilidade proposta é inovadora por integrar performance e tempo de recuperação em um único índice quantitativo. Ela é prática, generalizável e aplicável a diversas configurações de sistemas. A combinação com redes bayesianas dinâmicas oferece uma base </w:t>
      </w:r>
      <w:r w:rsidRPr="004719B6">
        <w:rPr>
          <w:lang w:val="pt-BR"/>
        </w:rPr>
        <w:lastRenderedPageBreak/>
        <w:t>sólida para análise preditiva e suporte à decisão. Esta abordagem é promissora para avaliação de resiliência em sistemas de energia elétrica sujeitos a falhas internas e choques externos.</w:t>
      </w:r>
    </w:p>
    <w:p w14:paraId="6E487A70" w14:textId="77777777" w:rsidR="004719B6" w:rsidRPr="004719B6" w:rsidRDefault="004719B6" w:rsidP="004719B6">
      <w:pPr>
        <w:rPr>
          <w:lang w:val="pt-BR"/>
        </w:rPr>
      </w:pPr>
    </w:p>
    <w:p w14:paraId="37D73D18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Resumo dos Achados Principais</w:t>
      </w:r>
    </w:p>
    <w:p w14:paraId="574F9556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- Nova métrica de resiliência: A/log(t)</w:t>
      </w:r>
    </w:p>
    <w:p w14:paraId="2320F95B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- Utilização de redes bayesianas dinâmicas para prever disponibilidade</w:t>
      </w:r>
    </w:p>
    <w:p w14:paraId="430AEE3A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- Redundância, taxas de falha e de reparo são determinantes da resiliência</w:t>
      </w:r>
    </w:p>
    <w:p w14:paraId="1561FC91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- Aplicação a sistemas teóricos e a uma rede elétrica real de nove-barras</w:t>
      </w:r>
    </w:p>
    <w:p w14:paraId="6B2303D1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- Método aplicável a projetos de engenharia com foco em robustez e recuperação</w:t>
      </w:r>
    </w:p>
    <w:p w14:paraId="39564B28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Descrição Técnica de Figuras, Gráficos e Tabelas</w:t>
      </w:r>
    </w:p>
    <w:p w14:paraId="3E8E1C77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Figura 1: Propriedades relacionadas à resiliência de sistemas de engenharia</w:t>
      </w:r>
    </w:p>
    <w:p w14:paraId="6CE6E063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Figura 2: Evolução da disponibilidade com e sem choque externo</w:t>
      </w:r>
    </w:p>
    <w:p w14:paraId="703B2A07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Figura 3: Topologias S3P3V3, S2P3V3 e S3P2V3</w:t>
      </w:r>
    </w:p>
    <w:p w14:paraId="28C83652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Figura 4: Rede Bayesiana Dinâmica associada ao sistema S3P3V3</w:t>
      </w:r>
    </w:p>
    <w:p w14:paraId="23D8B14C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Figura 5: Curvas de disponibilidade frente a múltiplos choques</w:t>
      </w:r>
    </w:p>
    <w:p w14:paraId="4B166B5A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Figuras 6 e 7: Análises de sensibilidade sobre taxas de falha e reparo</w:t>
      </w:r>
    </w:p>
    <w:p w14:paraId="3621451F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Figura 8: Comparação da resiliência entre diferentes configurações</w:t>
      </w:r>
    </w:p>
    <w:p w14:paraId="35657F8B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Figura 9: Diagrama da rede de nove-barras</w:t>
      </w:r>
    </w:p>
    <w:p w14:paraId="11DAC3B4" w14:textId="77777777" w:rsidR="004719B6" w:rsidRPr="004719B6" w:rsidRDefault="004719B6" w:rsidP="004719B6">
      <w:pPr>
        <w:rPr>
          <w:lang w:val="pt-BR"/>
        </w:rPr>
      </w:pPr>
      <w:r w:rsidRPr="004719B6">
        <w:rPr>
          <w:lang w:val="pt-BR"/>
        </w:rPr>
        <w:t>• Tabela 1: Taxas de falha e reparo nos sistemas compostos</w:t>
      </w:r>
    </w:p>
    <w:p w14:paraId="10927974" w14:textId="77777777" w:rsidR="004719B6" w:rsidRDefault="004719B6" w:rsidP="004719B6">
      <w:pPr>
        <w:rPr>
          <w:lang w:val="pt-BR"/>
        </w:rPr>
      </w:pPr>
      <w:r w:rsidRPr="004719B6">
        <w:rPr>
          <w:lang w:val="pt-BR"/>
        </w:rPr>
        <w:t>• Tabela 2: Parâmetros da rede de nove-barras</w:t>
      </w:r>
    </w:p>
    <w:p w14:paraId="0FF12858" w14:textId="77777777" w:rsidR="00244F3B" w:rsidRDefault="00244F3B" w:rsidP="00244F3B">
      <w:r>
        <w:t>Availability-based engineering resilience metric and its corresponding evaluation methodology</w:t>
      </w:r>
    </w:p>
    <w:p w14:paraId="31A57ABB" w14:textId="77777777" w:rsidR="00244F3B" w:rsidRDefault="00244F3B" w:rsidP="00244F3B"/>
    <w:p w14:paraId="34622BB4" w14:textId="77777777" w:rsidR="00244F3B" w:rsidRDefault="00244F3B" w:rsidP="00244F3B">
      <w:r>
        <w:t>Autores: Baoping Cai, Min Xie, Yonghong Liu, Yiliu Liu, Qiang Feng</w:t>
      </w:r>
    </w:p>
    <w:p w14:paraId="35337514" w14:textId="77777777" w:rsidR="00244F3B" w:rsidRDefault="00244F3B" w:rsidP="00244F3B"/>
    <w:p w14:paraId="121F4E32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Resumo do Abstract</w:t>
      </w:r>
    </w:p>
    <w:p w14:paraId="5607840B" w14:textId="77777777" w:rsidR="00244F3B" w:rsidRDefault="00244F3B" w:rsidP="00244F3B">
      <w:pPr>
        <w:rPr>
          <w:lang w:val="pt-BR"/>
        </w:rPr>
      </w:pPr>
      <w:r w:rsidRPr="00831AA9">
        <w:rPr>
          <w:lang w:val="pt-BR"/>
        </w:rPr>
        <w:t xml:space="preserve">O artigo propõe uma nova métrica de resiliência baseada na disponibilidade para sistemas de engenharia. </w:t>
      </w:r>
      <w:r w:rsidRPr="00BB381D">
        <w:rPr>
          <w:highlight w:val="yellow"/>
          <w:lang w:val="pt-BR"/>
        </w:rPr>
        <w:t>A métrica considera a resiliência como uma propriedade intrínseca do sistema, influenciada pela estrutura do sistema e pelos recursos de manutenção</w:t>
      </w:r>
      <w:r w:rsidRPr="00831AA9">
        <w:rPr>
          <w:lang w:val="pt-BR"/>
        </w:rPr>
        <w:t>. A metodologia utiliza redes Bayesianas dinâmicas para calcular a disponibilidade em estado estacionário e o tempo correspondente, oferecendo uma forma prática de avaliação para planejamento, operação e design de sistemas complexos.</w:t>
      </w:r>
    </w:p>
    <w:p w14:paraId="79617674" w14:textId="77777777" w:rsidR="00244F3B" w:rsidRPr="00831AA9" w:rsidRDefault="00244F3B" w:rsidP="00244F3B">
      <w:pPr>
        <w:rPr>
          <w:lang w:val="pt-BR"/>
        </w:rPr>
      </w:pPr>
    </w:p>
    <w:p w14:paraId="2B0A45E4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1. Introdução</w:t>
      </w:r>
    </w:p>
    <w:p w14:paraId="4427F825" w14:textId="77777777" w:rsidR="00244F3B" w:rsidRDefault="00244F3B" w:rsidP="00244F3B">
      <w:pPr>
        <w:rPr>
          <w:lang w:val="pt-BR"/>
        </w:rPr>
      </w:pPr>
      <w:r w:rsidRPr="00831AA9">
        <w:rPr>
          <w:lang w:val="pt-BR"/>
        </w:rPr>
        <w:t>A resiliência em sistemas de engenharia ainda carece de definições e métricas unificadas. Este artigo assume a resiliência como uma propriedade interna do sistema, composta por atributos relacionados ao desempenho e ao tempo. A proposta visa avaliar resiliência sem considerar fatores externos imprevisíveis como desastres naturais.</w:t>
      </w:r>
    </w:p>
    <w:p w14:paraId="4C6785BF" w14:textId="77777777" w:rsidR="00244F3B" w:rsidRPr="00831AA9" w:rsidRDefault="00244F3B" w:rsidP="00244F3B">
      <w:pPr>
        <w:rPr>
          <w:lang w:val="pt-BR"/>
        </w:rPr>
      </w:pPr>
    </w:p>
    <w:p w14:paraId="3A82D637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2. Metodologia</w:t>
      </w:r>
    </w:p>
    <w:p w14:paraId="4860D00D" w14:textId="77777777" w:rsidR="00244F3B" w:rsidRDefault="00244F3B" w:rsidP="00244F3B">
      <w:pPr>
        <w:rPr>
          <w:lang w:val="pt-BR"/>
        </w:rPr>
      </w:pPr>
      <w:r w:rsidRPr="00831AA9">
        <w:rPr>
          <w:lang w:val="pt-BR"/>
        </w:rPr>
        <w:lastRenderedPageBreak/>
        <w:t xml:space="preserve">A métrica de resiliência proposta combina disponibilidade A e tempo t por meio da fórmula: </w:t>
      </w:r>
      <w:r>
        <w:t>ρ</w:t>
      </w:r>
      <w:r w:rsidRPr="00831AA9">
        <w:rPr>
          <w:lang w:val="pt-BR"/>
        </w:rPr>
        <w:t xml:space="preserve"> = A / ln(t). A avaliação é realizada usando redes Bayesianas dinâmicas, permitindo estimativas de disponibilidade ao longo do tempo e avaliação de sensibilidade com relação a taxas de falha e de reparo.</w:t>
      </w:r>
    </w:p>
    <w:p w14:paraId="451A54EB" w14:textId="77777777" w:rsidR="00244F3B" w:rsidRPr="00831AA9" w:rsidRDefault="00244F3B" w:rsidP="00244F3B">
      <w:pPr>
        <w:rPr>
          <w:lang w:val="pt-BR"/>
        </w:rPr>
      </w:pPr>
    </w:p>
    <w:p w14:paraId="1E389F2E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3. Resultados</w:t>
      </w:r>
    </w:p>
    <w:p w14:paraId="7D3F5916" w14:textId="77777777" w:rsidR="00244F3B" w:rsidRDefault="00244F3B" w:rsidP="00244F3B">
      <w:pPr>
        <w:rPr>
          <w:lang w:val="pt-BR"/>
        </w:rPr>
      </w:pPr>
      <w:r w:rsidRPr="00831AA9">
        <w:rPr>
          <w:lang w:val="pt-BR"/>
        </w:rPr>
        <w:t>Foram modelados sistemas típicos como S3P3V3, S2P3V3 e S3P2V3. A sensibilidade da resiliência às taxas de falha e reparo foi avaliada. Quanto maior a redundância e menor a taxa de falha, maior a resiliência. Um sistema de nove barras de energia foi modelado e apresentou resiliência de 0,54%.</w:t>
      </w:r>
    </w:p>
    <w:p w14:paraId="024995BC" w14:textId="77777777" w:rsidR="00244F3B" w:rsidRPr="00831AA9" w:rsidRDefault="00244F3B" w:rsidP="00244F3B">
      <w:pPr>
        <w:rPr>
          <w:lang w:val="pt-BR"/>
        </w:rPr>
      </w:pPr>
    </w:p>
    <w:p w14:paraId="5C0200C5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4. Discussão</w:t>
      </w:r>
    </w:p>
    <w:p w14:paraId="53E47D9A" w14:textId="77777777" w:rsidR="00244F3B" w:rsidRDefault="00244F3B" w:rsidP="00244F3B">
      <w:pPr>
        <w:rPr>
          <w:lang w:val="pt-BR"/>
        </w:rPr>
      </w:pPr>
      <w:r w:rsidRPr="00831AA9">
        <w:rPr>
          <w:lang w:val="pt-BR"/>
        </w:rPr>
        <w:t>A métrica permite comparação entre sistemas com a mesma função. A resiliência é sensível à estrutura, à redundância e às taxas de falha e reparo. Mudanças nesses fatores podem ser usadas para otimizar o projeto.</w:t>
      </w:r>
    </w:p>
    <w:p w14:paraId="7FB36D56" w14:textId="77777777" w:rsidR="00244F3B" w:rsidRPr="00831AA9" w:rsidRDefault="00244F3B" w:rsidP="00244F3B">
      <w:pPr>
        <w:rPr>
          <w:lang w:val="pt-BR"/>
        </w:rPr>
      </w:pPr>
    </w:p>
    <w:p w14:paraId="217667C4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5. Conclusão Crítica</w:t>
      </w:r>
    </w:p>
    <w:p w14:paraId="567796DB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O estudo propõe uma abordagem prática e generalizável para quantificar a resiliência de sistemas de engenharia. A principal contribuição é integrar disponibilidade e tempo em uma métrica objetiva, implementável por redes Bayesianas.</w:t>
      </w:r>
    </w:p>
    <w:p w14:paraId="44E3226E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Resumo dos Achados Principais</w:t>
      </w:r>
    </w:p>
    <w:p w14:paraId="58ACABC1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 xml:space="preserve">- Proposição da métrica </w:t>
      </w:r>
      <w:r>
        <w:t>ρ</w:t>
      </w:r>
      <w:r w:rsidRPr="00831AA9">
        <w:rPr>
          <w:lang w:val="pt-BR"/>
        </w:rPr>
        <w:t xml:space="preserve"> = A / ln(t).</w:t>
      </w:r>
    </w:p>
    <w:p w14:paraId="7345E420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- Aplicação prática com redes Bayesianas dinâmicas.</w:t>
      </w:r>
    </w:p>
    <w:p w14:paraId="5B4D97BC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- Comparação entre sistemas estruturais (S3P3V3, etc.).</w:t>
      </w:r>
    </w:p>
    <w:p w14:paraId="4AC2E7BB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- Aplicação em sistema elétrico real (nove barras).</w:t>
      </w:r>
    </w:p>
    <w:p w14:paraId="3240C202" w14:textId="77777777" w:rsidR="00244F3B" w:rsidRDefault="00244F3B" w:rsidP="00244F3B">
      <w:pPr>
        <w:rPr>
          <w:lang w:val="pt-BR"/>
        </w:rPr>
      </w:pPr>
      <w:r w:rsidRPr="00831AA9">
        <w:rPr>
          <w:lang w:val="pt-BR"/>
        </w:rPr>
        <w:t>- Sensibilidade destacada em componentes críticos.</w:t>
      </w:r>
    </w:p>
    <w:p w14:paraId="795F8EBB" w14:textId="77777777" w:rsidR="00244F3B" w:rsidRPr="00831AA9" w:rsidRDefault="00244F3B" w:rsidP="00244F3B">
      <w:pPr>
        <w:rPr>
          <w:lang w:val="pt-BR"/>
        </w:rPr>
      </w:pPr>
    </w:p>
    <w:p w14:paraId="61F38B20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Descrição de Figuras, Tabelas e Gráficos</w:t>
      </w:r>
    </w:p>
    <w:p w14:paraId="572D39BE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Figura 1: Propriedades da resiliência em sistemas de engenharia (desempenho vs tempo).</w:t>
      </w:r>
    </w:p>
    <w:p w14:paraId="7D0D162C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Figura 2: Curva de disponibilidade ao longo do tempo com e sem choques externos.</w:t>
      </w:r>
    </w:p>
    <w:p w14:paraId="7A188241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Figura 5: Variação da disponibilidade do sistema S3P3V3 sob diferentes cenários de choque.</w:t>
      </w:r>
    </w:p>
    <w:p w14:paraId="1949E396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Figura 6 e 7: Análises de sensibilidade da taxa de falha e de reparo.</w:t>
      </w:r>
    </w:p>
    <w:p w14:paraId="42ACC197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Figura 8: Comparação de resiliência entre topologias S3P3V3, S2P3V3, S3P2V3.</w:t>
      </w:r>
    </w:p>
    <w:p w14:paraId="788B9E5C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Figura 9-10: Modelo de rede Bayesiana dinâmica para sistema de nove barras.</w:t>
      </w:r>
    </w:p>
    <w:p w14:paraId="1F472DD4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Tabela 1: Taxas de falha e reparo dos componentes do S3P3V3.</w:t>
      </w:r>
    </w:p>
    <w:p w14:paraId="08B5E1FB" w14:textId="77777777" w:rsidR="00244F3B" w:rsidRPr="00831AA9" w:rsidRDefault="00244F3B" w:rsidP="00244F3B">
      <w:pPr>
        <w:rPr>
          <w:lang w:val="pt-BR"/>
        </w:rPr>
      </w:pPr>
      <w:r w:rsidRPr="00831AA9">
        <w:rPr>
          <w:lang w:val="pt-BR"/>
        </w:rPr>
        <w:t>Tabela 2: Taxas do sistema de nove barras.</w:t>
      </w:r>
    </w:p>
    <w:p w14:paraId="7D576944" w14:textId="77777777" w:rsidR="004719B6" w:rsidRDefault="004719B6" w:rsidP="004719B6">
      <w:pPr>
        <w:rPr>
          <w:lang w:val="pt-BR"/>
        </w:rPr>
      </w:pPr>
    </w:p>
    <w:p w14:paraId="2D0F4954" w14:textId="77777777" w:rsidR="00EC3307" w:rsidRDefault="00EC3307" w:rsidP="00EC3307">
      <w:r w:rsidRPr="00983DAF">
        <w:t>Availability-based engineering resilience metric and its corresponding evaluation methodology</w:t>
      </w:r>
    </w:p>
    <w:p w14:paraId="3E7CE2B3" w14:textId="77777777" w:rsidR="00EC3307" w:rsidRDefault="00EC3307" w:rsidP="00EC3307"/>
    <w:p w14:paraId="5811B5EE" w14:textId="77777777" w:rsidR="00EC3307" w:rsidRPr="00EC3307" w:rsidRDefault="00EC3307" w:rsidP="00EC33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EC3307">
        <w:rPr>
          <w:rFonts w:eastAsia="Times New Roman" w:cs="Times New Roman"/>
          <w:b/>
          <w:bCs/>
          <w:sz w:val="36"/>
          <w:szCs w:val="36"/>
          <w:lang w:val="pt-PT" w:eastAsia="pt-PT"/>
        </w:rPr>
        <w:lastRenderedPageBreak/>
        <w:t>1) Foco do artigo</w:t>
      </w:r>
    </w:p>
    <w:p w14:paraId="3A7D618C" w14:textId="77777777" w:rsidR="00EC3307" w:rsidRPr="00EC3307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C3307">
        <w:rPr>
          <w:rFonts w:eastAsia="Times New Roman" w:cs="Times New Roman"/>
          <w:sz w:val="24"/>
          <w:szCs w:val="24"/>
          <w:lang w:val="pt-PT" w:eastAsia="pt-PT"/>
        </w:rPr>
        <w:t xml:space="preserve">O trabalho propõe um </w:t>
      </w:r>
      <w:r w:rsidRPr="00EC3307">
        <w:rPr>
          <w:rFonts w:eastAsia="Times New Roman" w:cs="Times New Roman"/>
          <w:b/>
          <w:bCs/>
          <w:sz w:val="24"/>
          <w:szCs w:val="24"/>
          <w:lang w:val="pt-PT" w:eastAsia="pt-PT"/>
        </w:rPr>
        <w:t>novo índice de resiliência baseado na disponibilidade</w:t>
      </w:r>
      <w:r w:rsidRPr="00EC3307">
        <w:rPr>
          <w:rFonts w:eastAsia="Times New Roman" w:cs="Times New Roman"/>
          <w:sz w:val="24"/>
          <w:szCs w:val="24"/>
          <w:lang w:val="pt-PT" w:eastAsia="pt-PT"/>
        </w:rPr>
        <w:t xml:space="preserve">, desenvolvido a partir da </w:t>
      </w:r>
      <w:r w:rsidRPr="00EC3307">
        <w:rPr>
          <w:rFonts w:eastAsia="Times New Roman" w:cs="Times New Roman"/>
          <w:b/>
          <w:bCs/>
          <w:sz w:val="24"/>
          <w:szCs w:val="24"/>
          <w:lang w:val="pt-PT" w:eastAsia="pt-PT"/>
        </w:rPr>
        <w:t>engenharia de confiabilidade</w:t>
      </w:r>
      <w:r w:rsidRPr="00EC3307">
        <w:rPr>
          <w:rFonts w:eastAsia="Times New Roman" w:cs="Times New Roman"/>
          <w:sz w:val="24"/>
          <w:szCs w:val="24"/>
          <w:lang w:val="pt-PT" w:eastAsia="pt-PT"/>
        </w:rPr>
        <w:t>, com as seguintes características centrais:</w:t>
      </w:r>
    </w:p>
    <w:p w14:paraId="77141BE3" w14:textId="77777777" w:rsidR="00EC3307" w:rsidRPr="00EC3307" w:rsidRDefault="00EC3307" w:rsidP="00EC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C3307">
        <w:rPr>
          <w:rFonts w:eastAsia="Times New Roman" w:cs="Times New Roman"/>
          <w:sz w:val="24"/>
          <w:szCs w:val="24"/>
          <w:lang w:val="pt-PT" w:eastAsia="pt-PT"/>
        </w:rPr>
        <w:t xml:space="preserve">resiliência entendida como </w:t>
      </w:r>
      <w:r w:rsidRPr="00EC3307">
        <w:rPr>
          <w:rFonts w:eastAsia="Times New Roman" w:cs="Times New Roman"/>
          <w:b/>
          <w:bCs/>
          <w:sz w:val="24"/>
          <w:szCs w:val="24"/>
          <w:lang w:val="pt-PT" w:eastAsia="pt-PT"/>
        </w:rPr>
        <w:t>capacidade intrínseca do sistema</w:t>
      </w:r>
      <w:r w:rsidRPr="00EC3307">
        <w:rPr>
          <w:rFonts w:eastAsia="Times New Roman" w:cs="Times New Roman"/>
          <w:sz w:val="24"/>
          <w:szCs w:val="24"/>
          <w:lang w:val="pt-PT" w:eastAsia="pt-PT"/>
        </w:rPr>
        <w:t>;</w:t>
      </w:r>
    </w:p>
    <w:p w14:paraId="597EC01C" w14:textId="77777777" w:rsidR="00EC3307" w:rsidRPr="000C4AB8" w:rsidRDefault="00EC3307" w:rsidP="00EC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separação explícita entre:</w:t>
      </w:r>
    </w:p>
    <w:p w14:paraId="6E9CDAB2" w14:textId="77777777" w:rsidR="00EC3307" w:rsidRPr="000C4AB8" w:rsidRDefault="00EC3307" w:rsidP="00EC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propriedades internas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(estrutura, taxas de falha e reparo),</w:t>
      </w:r>
    </w:p>
    <w:p w14:paraId="127EC76B" w14:textId="77777777" w:rsidR="00EC3307" w:rsidRPr="000C4AB8" w:rsidRDefault="00EC3307" w:rsidP="00EC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fatores externos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(choques, ataques, desastres), que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não entram diretamente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no índice;</w:t>
      </w:r>
    </w:p>
    <w:p w14:paraId="24B504F3" w14:textId="77777777" w:rsidR="00EC3307" w:rsidRPr="000C4AB8" w:rsidRDefault="00EC3307" w:rsidP="00EC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uso de:</w:t>
      </w:r>
    </w:p>
    <w:p w14:paraId="4F8BB724" w14:textId="77777777" w:rsidR="00EC3307" w:rsidRPr="000C4AB8" w:rsidRDefault="00EC3307" w:rsidP="00EC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disponibilidade em regime permanente (steady-state availability)</w:t>
      </w:r>
      <w:r w:rsidRPr="000C4AB8">
        <w:rPr>
          <w:rFonts w:eastAsia="Times New Roman" w:cs="Times New Roman"/>
          <w:sz w:val="24"/>
          <w:szCs w:val="24"/>
          <w:lang w:eastAsia="pt-PT"/>
        </w:rPr>
        <w:t>;</w:t>
      </w:r>
    </w:p>
    <w:p w14:paraId="3DFDCA41" w14:textId="77777777" w:rsidR="00EC3307" w:rsidRPr="000C4AB8" w:rsidRDefault="00EC3307" w:rsidP="00EC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tempo de estabilização (steady-state time)</w:t>
      </w:r>
      <w:r w:rsidRPr="000C4AB8">
        <w:rPr>
          <w:rFonts w:eastAsia="Times New Roman" w:cs="Times New Roman"/>
          <w:sz w:val="24"/>
          <w:szCs w:val="24"/>
          <w:lang w:eastAsia="pt-PT"/>
        </w:rPr>
        <w:t>;</w:t>
      </w:r>
    </w:p>
    <w:p w14:paraId="4C44E1D9" w14:textId="77777777" w:rsidR="00EC3307" w:rsidRPr="000C4AB8" w:rsidRDefault="00EC3307" w:rsidP="00EC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avaliação via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Redes Bayesianas Dinâmicas (DBN)</w:t>
      </w:r>
      <w:r w:rsidRPr="000C4AB8">
        <w:rPr>
          <w:rFonts w:eastAsia="Times New Roman" w:cs="Times New Roman"/>
          <w:sz w:val="24"/>
          <w:szCs w:val="24"/>
          <w:lang w:eastAsia="pt-PT"/>
        </w:rPr>
        <w:t>.</w:t>
      </w:r>
    </w:p>
    <w:p w14:paraId="0999318E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O foco é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engenharia de sistemas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em geral, com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aplicação demonstrativa a um sistema elétrico de 9 barras</w:t>
      </w:r>
      <w:r w:rsidRPr="000C4AB8">
        <w:rPr>
          <w:rFonts w:eastAsia="Times New Roman" w:cs="Times New Roman"/>
          <w:sz w:val="24"/>
          <w:szCs w:val="24"/>
          <w:lang w:eastAsia="pt-PT"/>
        </w:rPr>
        <w:t>.</w:t>
      </w:r>
    </w:p>
    <w:p w14:paraId="550EC164" w14:textId="77777777" w:rsidR="00EC3307" w:rsidRPr="000C4AB8" w:rsidRDefault="00EC3307" w:rsidP="00EC3307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6750E54">
          <v:rect id="_x0000_i1025" style="width:0;height:1.5pt" o:hralign="center" o:hrstd="t" o:hr="t" fillcolor="#a0a0a0" stroked="f"/>
        </w:pict>
      </w:r>
    </w:p>
    <w:p w14:paraId="321E0AFF" w14:textId="77777777" w:rsidR="00EC3307" w:rsidRPr="000C4AB8" w:rsidRDefault="00EC3307" w:rsidP="00EC33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C4AB8">
        <w:rPr>
          <w:rFonts w:eastAsia="Times New Roman" w:cs="Times New Roman"/>
          <w:b/>
          <w:bCs/>
          <w:sz w:val="36"/>
          <w:szCs w:val="36"/>
          <w:lang w:eastAsia="pt-PT"/>
        </w:rPr>
        <w:t>2) Contribuições principais</w:t>
      </w:r>
    </w:p>
    <w:p w14:paraId="4598A12B" w14:textId="77777777" w:rsidR="00EC3307" w:rsidRPr="000C4AB8" w:rsidRDefault="00EC3307" w:rsidP="00EC33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C4AB8">
        <w:rPr>
          <w:rFonts w:eastAsia="Times New Roman" w:cs="Times New Roman"/>
          <w:b/>
          <w:bCs/>
          <w:sz w:val="27"/>
          <w:szCs w:val="27"/>
          <w:lang w:eastAsia="pt-PT"/>
        </w:rPr>
        <w:t>2.1 Definição formal de um índice de resiliência</w:t>
      </w:r>
    </w:p>
    <w:p w14:paraId="0B6BC1DF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O índice proposto é definido como (Eq. 1 do artigo):</w:t>
      </w:r>
    </w:p>
    <w:p w14:paraId="3FF933EC" w14:textId="77777777" w:rsidR="00EC3307" w:rsidRPr="000C4AB8" w:rsidRDefault="00EC3307" w:rsidP="00EC3307">
      <w:pPr>
        <w:rPr>
          <w:rFonts w:eastAsia="Times New Roman" w:cs="Times New Roman"/>
          <w:sz w:val="24"/>
          <w:szCs w:val="24"/>
          <w:lang w:eastAsia="pt-PT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ρ=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ln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)</m:t>
              </m:r>
            </m:den>
          </m:f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i3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⁡(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i3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i2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)</m:t>
                  </m:r>
                </m:den>
              </m:f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w:br/>
          </m:r>
        </m:oMath>
      </m:oMathPara>
    </w:p>
    <w:p w14:paraId="5649A925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onde:</w:t>
      </w:r>
    </w:p>
    <w:p w14:paraId="62EAC40F" w14:textId="77777777" w:rsidR="00EC3307" w:rsidRPr="000C4AB8" w:rsidRDefault="00EC3307" w:rsidP="00EC3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1</m:t>
            </m:r>
          </m:sub>
        </m:sSub>
      </m:oMath>
      <w:r w:rsidRPr="000C4AB8">
        <w:rPr>
          <w:rFonts w:eastAsia="Times New Roman" w:cs="Times New Roman"/>
          <w:sz w:val="24"/>
          <w:szCs w:val="24"/>
          <w:lang w:eastAsia="pt-PT"/>
        </w:rPr>
        <w:t>: disponibilidade em regime permanente antes do choque;</w:t>
      </w:r>
    </w:p>
    <w:p w14:paraId="6370688F" w14:textId="77777777" w:rsidR="00EC3307" w:rsidRPr="000C4AB8" w:rsidRDefault="00EC3307" w:rsidP="00EC3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i2</m:t>
            </m:r>
          </m:sub>
        </m:sSub>
      </m:oMath>
      <w:r w:rsidRPr="000C4AB8">
        <w:rPr>
          <w:rFonts w:eastAsia="Times New Roman" w:cs="Times New Roman"/>
          <w:sz w:val="24"/>
          <w:szCs w:val="24"/>
          <w:lang w:eastAsia="pt-PT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i3</m:t>
            </m:r>
          </m:sub>
        </m:sSub>
      </m:oMath>
      <w:r w:rsidRPr="000C4AB8">
        <w:rPr>
          <w:rFonts w:eastAsia="Times New Roman" w:cs="Times New Roman"/>
          <w:sz w:val="24"/>
          <w:szCs w:val="24"/>
          <w:lang w:eastAsia="pt-PT"/>
        </w:rPr>
        <w:t>: disponibilidades pós-choque;</w:t>
      </w:r>
    </w:p>
    <w:p w14:paraId="6A68327A" w14:textId="77777777" w:rsidR="00EC3307" w:rsidRPr="000C4AB8" w:rsidRDefault="00EC3307" w:rsidP="00EC3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1</m:t>
            </m:r>
          </m:sub>
        </m:sSub>
      </m:oMath>
      <w:r w:rsidRPr="000C4AB8">
        <w:rPr>
          <w:rFonts w:eastAsia="Times New Roman" w:cs="Times New Roman"/>
          <w:sz w:val="24"/>
          <w:szCs w:val="24"/>
          <w:lang w:eastAsia="pt-PT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i3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i2</m:t>
            </m:r>
          </m:sub>
        </m:sSub>
      </m:oMath>
      <w:r w:rsidRPr="000C4AB8">
        <w:rPr>
          <w:rFonts w:eastAsia="Times New Roman" w:cs="Times New Roman"/>
          <w:sz w:val="24"/>
          <w:szCs w:val="24"/>
          <w:lang w:eastAsia="pt-PT"/>
        </w:rPr>
        <w:t>: tempos de estabilização;</w:t>
      </w:r>
    </w:p>
    <w:p w14:paraId="3A656E2D" w14:textId="77777777" w:rsidR="00EC3307" w:rsidRPr="000C4AB8" w:rsidRDefault="00EC3307" w:rsidP="00EC3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n</m:t>
        </m:r>
      </m:oMath>
      <w:r w:rsidRPr="000C4AB8">
        <w:rPr>
          <w:rFonts w:eastAsia="Times New Roman" w:cs="Times New Roman"/>
          <w:sz w:val="24"/>
          <w:szCs w:val="24"/>
          <w:lang w:eastAsia="pt-PT"/>
        </w:rPr>
        <w:t>: número de choques simulados.</w:t>
      </w:r>
    </w:p>
    <w:p w14:paraId="604097DA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Métrica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matematicamente bem definida</w:t>
      </w:r>
      <w:r w:rsidRPr="000C4AB8">
        <w:rPr>
          <w:rFonts w:eastAsia="Times New Roman" w:cs="Times New Roman"/>
          <w:sz w:val="24"/>
          <w:szCs w:val="24"/>
          <w:lang w:eastAsia="pt-PT"/>
        </w:rPr>
        <w:t>, contínua e comparável.</w:t>
      </w:r>
    </w:p>
    <w:p w14:paraId="290E686E" w14:textId="77777777" w:rsidR="00EC3307" w:rsidRPr="000C4AB8" w:rsidRDefault="00EC3307" w:rsidP="00EC3307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3B39EA2">
          <v:rect id="_x0000_i1026" style="width:0;height:1.5pt" o:hralign="center" o:hrstd="t" o:hr="t" fillcolor="#a0a0a0" stroked="f"/>
        </w:pict>
      </w:r>
    </w:p>
    <w:p w14:paraId="28C8FC75" w14:textId="77777777" w:rsidR="00EC3307" w:rsidRPr="000C4AB8" w:rsidRDefault="00EC3307" w:rsidP="00EC33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C4AB8">
        <w:rPr>
          <w:rFonts w:eastAsia="Times New Roman" w:cs="Times New Roman"/>
          <w:b/>
          <w:bCs/>
          <w:sz w:val="27"/>
          <w:szCs w:val="27"/>
          <w:lang w:eastAsia="pt-PT"/>
        </w:rPr>
        <w:lastRenderedPageBreak/>
        <w:t>2.2 Resiliência como atributo intrínseco (ponto forte e controverso)</w:t>
      </w:r>
    </w:p>
    <w:p w14:paraId="4189ECB2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Os autores defendem que:</w:t>
      </w:r>
    </w:p>
    <w:p w14:paraId="634A3A7C" w14:textId="77777777" w:rsidR="00EC3307" w:rsidRPr="000C4AB8" w:rsidRDefault="00EC3307" w:rsidP="00EC3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eventos externos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não fazem parte da resiliência</w:t>
      </w:r>
      <w:r w:rsidRPr="000C4AB8">
        <w:rPr>
          <w:rFonts w:eastAsia="Times New Roman" w:cs="Times New Roman"/>
          <w:sz w:val="24"/>
          <w:szCs w:val="24"/>
          <w:lang w:eastAsia="pt-PT"/>
        </w:rPr>
        <w:t>;</w:t>
      </w:r>
    </w:p>
    <w:p w14:paraId="31B28E60" w14:textId="77777777" w:rsidR="00EC3307" w:rsidRPr="000C4AB8" w:rsidRDefault="00EC3307" w:rsidP="00EC3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a resiliência é determinada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exclusivamente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por:</w:t>
      </w:r>
    </w:p>
    <w:p w14:paraId="2A0CBEDC" w14:textId="77777777" w:rsidR="00EC3307" w:rsidRPr="000C4AB8" w:rsidRDefault="00EC3307" w:rsidP="00EC33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estrutura do sistema;</w:t>
      </w:r>
    </w:p>
    <w:p w14:paraId="4602CA6C" w14:textId="77777777" w:rsidR="00EC3307" w:rsidRPr="000C4AB8" w:rsidRDefault="00EC3307" w:rsidP="00EC33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redundância;</w:t>
      </w:r>
    </w:p>
    <w:p w14:paraId="741C7C87" w14:textId="77777777" w:rsidR="00EC3307" w:rsidRPr="000C4AB8" w:rsidRDefault="00EC3307" w:rsidP="00EC33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taxas de falha e reparo;</w:t>
      </w:r>
    </w:p>
    <w:p w14:paraId="03E24B72" w14:textId="77777777" w:rsidR="00EC3307" w:rsidRPr="000C4AB8" w:rsidRDefault="00EC3307" w:rsidP="00EC33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recursos de manutenção.</w:t>
      </w:r>
    </w:p>
    <w:p w14:paraId="1B750665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Essa visão é ilustrada pela analogia com a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constante elástica de uma mola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(pág. 218–219).</w:t>
      </w:r>
    </w:p>
    <w:p w14:paraId="73830A15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Contribuição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conceitualmente clara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, mas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não consensual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na literatura de resiliência elétrica.</w:t>
      </w:r>
    </w:p>
    <w:p w14:paraId="0526CD15" w14:textId="77777777" w:rsidR="00EC3307" w:rsidRPr="000C4AB8" w:rsidRDefault="00EC3307" w:rsidP="00EC3307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CD978D5">
          <v:rect id="_x0000_i1027" style="width:0;height:1.5pt" o:hralign="center" o:hrstd="t" o:hr="t" fillcolor="#a0a0a0" stroked="f"/>
        </w:pict>
      </w:r>
    </w:p>
    <w:p w14:paraId="3C963F13" w14:textId="77777777" w:rsidR="00EC3307" w:rsidRPr="000C4AB8" w:rsidRDefault="00EC3307" w:rsidP="00EC33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C4AB8">
        <w:rPr>
          <w:rFonts w:eastAsia="Times New Roman" w:cs="Times New Roman"/>
          <w:b/>
          <w:bCs/>
          <w:sz w:val="27"/>
          <w:szCs w:val="27"/>
          <w:lang w:eastAsia="pt-PT"/>
        </w:rPr>
        <w:t>2.3 Metodologia baseada em Redes Bayesianas Dinâmicas</w:t>
      </w:r>
    </w:p>
    <w:p w14:paraId="6AFE8854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O artigo apresenta uma metodologia completa:</w:t>
      </w:r>
    </w:p>
    <w:p w14:paraId="41C0E2D8" w14:textId="77777777" w:rsidR="00EC3307" w:rsidRPr="000C4AB8" w:rsidRDefault="00EC3307" w:rsidP="00EC3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modelação estrutural do sistema (DBN);</w:t>
      </w:r>
    </w:p>
    <w:p w14:paraId="1FCB5AB4" w14:textId="77777777" w:rsidR="00EC3307" w:rsidRPr="000C4AB8" w:rsidRDefault="00EC3307" w:rsidP="00EC3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modelação de parâmetros (taxas de falha e reparo);</w:t>
      </w:r>
    </w:p>
    <w:p w14:paraId="576363E3" w14:textId="77777777" w:rsidR="00EC3307" w:rsidRPr="000C4AB8" w:rsidRDefault="00EC3307" w:rsidP="00EC3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cálculo da disponibilidade ao longo do tempo;</w:t>
      </w:r>
    </w:p>
    <w:p w14:paraId="1AFBD3A8" w14:textId="77777777" w:rsidR="00EC3307" w:rsidRPr="000C4AB8" w:rsidRDefault="00EC3307" w:rsidP="00EC3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extração de:</w:t>
      </w:r>
    </w:p>
    <w:p w14:paraId="49F3A5DA" w14:textId="77777777" w:rsidR="00EC3307" w:rsidRPr="000C4AB8" w:rsidRDefault="00EC3307" w:rsidP="00EC33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disponibilidade em regime permanente;</w:t>
      </w:r>
    </w:p>
    <w:p w14:paraId="232E8386" w14:textId="77777777" w:rsidR="00EC3307" w:rsidRPr="000C4AB8" w:rsidRDefault="00EC3307" w:rsidP="00EC33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tempo de estabilização;</w:t>
      </w:r>
    </w:p>
    <w:p w14:paraId="4A7871AA" w14:textId="77777777" w:rsidR="00EC3307" w:rsidRPr="000C4AB8" w:rsidRDefault="00EC3307" w:rsidP="00EC3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cálculo do índice de resiliência;</w:t>
      </w:r>
    </w:p>
    <w:p w14:paraId="09AD5343" w14:textId="77777777" w:rsidR="00EC3307" w:rsidRPr="000C4AB8" w:rsidRDefault="00EC3307" w:rsidP="00EC3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análise de sensibilidade</w:t>
      </w:r>
      <w:r w:rsidRPr="000C4AB8">
        <w:rPr>
          <w:rFonts w:eastAsia="Times New Roman" w:cs="Times New Roman"/>
          <w:sz w:val="24"/>
          <w:szCs w:val="24"/>
          <w:lang w:eastAsia="pt-PT"/>
        </w:rPr>
        <w:t>.</w:t>
      </w:r>
    </w:p>
    <w:p w14:paraId="595FF646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Metodologia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robusta</w:t>
      </w:r>
      <w:r w:rsidRPr="000C4AB8">
        <w:rPr>
          <w:rFonts w:eastAsia="Times New Roman" w:cs="Times New Roman"/>
          <w:sz w:val="24"/>
          <w:szCs w:val="24"/>
          <w:lang w:eastAsia="pt-PT"/>
        </w:rPr>
        <w:t>, coerente com engenharia de confiabilidade.</w:t>
      </w:r>
    </w:p>
    <w:p w14:paraId="5177B977" w14:textId="77777777" w:rsidR="00EC3307" w:rsidRPr="000C4AB8" w:rsidRDefault="00EC3307" w:rsidP="00EC3307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DFD3DE7">
          <v:rect id="_x0000_i1028" style="width:0;height:1.5pt" o:hralign="center" o:hrstd="t" o:hr="t" fillcolor="#a0a0a0" stroked="f"/>
        </w:pict>
      </w:r>
    </w:p>
    <w:p w14:paraId="7912E27E" w14:textId="77777777" w:rsidR="00EC3307" w:rsidRPr="000C4AB8" w:rsidRDefault="00EC3307" w:rsidP="00EC33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C4AB8">
        <w:rPr>
          <w:rFonts w:eastAsia="Times New Roman" w:cs="Times New Roman"/>
          <w:b/>
          <w:bCs/>
          <w:sz w:val="27"/>
          <w:szCs w:val="27"/>
          <w:lang w:eastAsia="pt-PT"/>
        </w:rPr>
        <w:t>2.4 Aplicação a um sistema elétrico (nine-bus)</w:t>
      </w:r>
    </w:p>
    <w:p w14:paraId="6487FAED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O sistema de 9 barras inclui:</w:t>
      </w:r>
    </w:p>
    <w:p w14:paraId="4FB23961" w14:textId="77777777" w:rsidR="00EC3307" w:rsidRPr="000C4AB8" w:rsidRDefault="00EC3307" w:rsidP="00EC3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geradores;</w:t>
      </w:r>
    </w:p>
    <w:p w14:paraId="03500B91" w14:textId="77777777" w:rsidR="00EC3307" w:rsidRPr="000C4AB8" w:rsidRDefault="00EC3307" w:rsidP="00EC3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transformadores;</w:t>
      </w:r>
    </w:p>
    <w:p w14:paraId="30D87E89" w14:textId="77777777" w:rsidR="00EC3307" w:rsidRPr="000C4AB8" w:rsidRDefault="00EC3307" w:rsidP="00EC3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linhas de transmissão</w:t>
      </w:r>
      <w:r w:rsidRPr="000C4AB8">
        <w:rPr>
          <w:rFonts w:eastAsia="Times New Roman" w:cs="Times New Roman"/>
          <w:sz w:val="24"/>
          <w:szCs w:val="24"/>
          <w:lang w:eastAsia="pt-PT"/>
        </w:rPr>
        <w:t>;</w:t>
      </w:r>
    </w:p>
    <w:p w14:paraId="7C7B24D6" w14:textId="77777777" w:rsidR="00EC3307" w:rsidRPr="000C4AB8" w:rsidRDefault="00EC3307" w:rsidP="00EC3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barramentos;</w:t>
      </w:r>
    </w:p>
    <w:p w14:paraId="1B411922" w14:textId="77777777" w:rsidR="00EC3307" w:rsidRPr="000C4AB8" w:rsidRDefault="00EC3307" w:rsidP="00EC3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cargas.</w:t>
      </w:r>
    </w:p>
    <w:p w14:paraId="2B6DFCB4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lastRenderedPageBreak/>
        <w:t xml:space="preserve">As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linhas de transmissão têm taxas explícitas de falha e reparo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(Tabela 2, pág. 220).</w:t>
      </w:r>
    </w:p>
    <w:p w14:paraId="35844694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Demonstra que o método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é aplicável a sistemas elétricos reais</w:t>
      </w:r>
      <w:r w:rsidRPr="000C4AB8">
        <w:rPr>
          <w:rFonts w:eastAsia="Times New Roman" w:cs="Times New Roman"/>
          <w:sz w:val="24"/>
          <w:szCs w:val="24"/>
          <w:lang w:eastAsia="pt-PT"/>
        </w:rPr>
        <w:t>, ainda que de forma simplificada.</w:t>
      </w:r>
    </w:p>
    <w:p w14:paraId="2E9476A8" w14:textId="77777777" w:rsidR="00EC3307" w:rsidRPr="000C4AB8" w:rsidRDefault="00EC3307" w:rsidP="00EC3307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473C7513">
          <v:rect id="_x0000_i1029" style="width:0;height:1.5pt" o:hralign="center" o:hrstd="t" o:hr="t" fillcolor="#a0a0a0" stroked="f"/>
        </w:pict>
      </w:r>
    </w:p>
    <w:p w14:paraId="1098CB2C" w14:textId="77777777" w:rsidR="00EC3307" w:rsidRPr="000C4AB8" w:rsidRDefault="00EC3307" w:rsidP="00EC33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C4AB8">
        <w:rPr>
          <w:rFonts w:eastAsia="Times New Roman" w:cs="Times New Roman"/>
          <w:b/>
          <w:bCs/>
          <w:sz w:val="36"/>
          <w:szCs w:val="36"/>
          <w:lang w:eastAsia="pt-PT"/>
        </w:rPr>
        <w:t>3) Limitações críticas para a sua tese</w:t>
      </w:r>
    </w:p>
    <w:p w14:paraId="50B71D0B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ascii="Segoe UI Emoji" w:eastAsia="Times New Roman" w:hAnsi="Segoe UI Emoji" w:cs="Segoe UI Emoji"/>
          <w:sz w:val="24"/>
          <w:szCs w:val="24"/>
          <w:lang w:eastAsia="pt-PT"/>
        </w:rPr>
        <w:t>⚠️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Muito relevantes</w:t>
      </w:r>
      <w:r w:rsidRPr="000C4AB8">
        <w:rPr>
          <w:rFonts w:eastAsia="Times New Roman" w:cs="Times New Roman"/>
          <w:sz w:val="24"/>
          <w:szCs w:val="24"/>
          <w:lang w:eastAsia="pt-PT"/>
        </w:rPr>
        <w:t>:</w:t>
      </w:r>
    </w:p>
    <w:p w14:paraId="1BE20278" w14:textId="77777777" w:rsidR="00EC3307" w:rsidRPr="000C4AB8" w:rsidRDefault="00EC3307" w:rsidP="00EC33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Eventos extremos não são modelados explicitamente</w:t>
      </w:r>
    </w:p>
    <w:p w14:paraId="48857668" w14:textId="77777777" w:rsidR="00EC3307" w:rsidRPr="000C4AB8" w:rsidRDefault="00EC3307" w:rsidP="00EC33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clima, vento, gelo, chuva, temperatura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não entram no modelo</w:t>
      </w:r>
      <w:r w:rsidRPr="000C4AB8">
        <w:rPr>
          <w:rFonts w:eastAsia="Times New Roman" w:cs="Times New Roman"/>
          <w:sz w:val="24"/>
          <w:szCs w:val="24"/>
          <w:lang w:eastAsia="pt-PT"/>
        </w:rPr>
        <w:t>;</w:t>
      </w:r>
    </w:p>
    <w:p w14:paraId="431C5231" w14:textId="77777777" w:rsidR="00EC3307" w:rsidRPr="000C4AB8" w:rsidRDefault="00EC3307" w:rsidP="00EC33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choques são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abstrações probabilísticas</w:t>
      </w:r>
      <w:r w:rsidRPr="000C4AB8">
        <w:rPr>
          <w:rFonts w:eastAsia="Times New Roman" w:cs="Times New Roman"/>
          <w:sz w:val="24"/>
          <w:szCs w:val="24"/>
          <w:lang w:eastAsia="pt-PT"/>
        </w:rPr>
        <w:t>.</w:t>
      </w:r>
    </w:p>
    <w:p w14:paraId="3089F68C" w14:textId="77777777" w:rsidR="00EC3307" w:rsidRPr="000C4AB8" w:rsidRDefault="00EC3307" w:rsidP="00EC33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Resiliência ≈ disponibilidade</w:t>
      </w:r>
    </w:p>
    <w:p w14:paraId="37C41D0C" w14:textId="77777777" w:rsidR="00EC3307" w:rsidRPr="000C4AB8" w:rsidRDefault="00EC3307" w:rsidP="00EC33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a métrica aproxima resiliência de uma extensão da confiabilidade/availability;</w:t>
      </w:r>
    </w:p>
    <w:p w14:paraId="799B1412" w14:textId="77777777" w:rsidR="00EC3307" w:rsidRPr="000C4AB8" w:rsidRDefault="00EC3307" w:rsidP="00EC33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não captura explicitamente:</w:t>
      </w:r>
    </w:p>
    <w:p w14:paraId="4D5DF804" w14:textId="77777777" w:rsidR="00EC3307" w:rsidRPr="000C4AB8" w:rsidRDefault="00EC3307" w:rsidP="00EC330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degradação progressiva,</w:t>
      </w:r>
    </w:p>
    <w:p w14:paraId="29008680" w14:textId="77777777" w:rsidR="00EC3307" w:rsidRPr="000C4AB8" w:rsidRDefault="00EC3307" w:rsidP="00EC330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dependência climática,</w:t>
      </w:r>
    </w:p>
    <w:p w14:paraId="14349633" w14:textId="77777777" w:rsidR="00EC3307" w:rsidRPr="000C4AB8" w:rsidRDefault="00EC3307" w:rsidP="00EC330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cascatas físicas em linhas de transmissão.</w:t>
      </w:r>
    </w:p>
    <w:p w14:paraId="4072D0C2" w14:textId="77777777" w:rsidR="00EC3307" w:rsidRPr="000C4AB8" w:rsidRDefault="00EC3307" w:rsidP="00EC33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Foco sistêmico</w:t>
      </w:r>
    </w:p>
    <w:p w14:paraId="0FBF7F17" w14:textId="77777777" w:rsidR="00EC3307" w:rsidRPr="000C4AB8" w:rsidRDefault="00EC3307" w:rsidP="00EC33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linhas de transmissão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não são o elemento central</w:t>
      </w:r>
      <w:r w:rsidRPr="000C4AB8">
        <w:rPr>
          <w:rFonts w:eastAsia="Times New Roman" w:cs="Times New Roman"/>
          <w:sz w:val="24"/>
          <w:szCs w:val="24"/>
          <w:lang w:eastAsia="pt-PT"/>
        </w:rPr>
        <w:t>;</w:t>
      </w:r>
    </w:p>
    <w:p w14:paraId="407B5C50" w14:textId="77777777" w:rsidR="00EC3307" w:rsidRPr="000C4AB8" w:rsidRDefault="00EC3307" w:rsidP="00EC33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aparecem como mais um componente do sistema.</w:t>
      </w:r>
    </w:p>
    <w:p w14:paraId="5791436D" w14:textId="77777777" w:rsidR="00EC3307" w:rsidRPr="000C4AB8" w:rsidRDefault="00EC3307" w:rsidP="00EC33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Ausência de relação clima → falha</w:t>
      </w:r>
    </w:p>
    <w:p w14:paraId="7AD488AE" w14:textId="77777777" w:rsidR="00EC3307" w:rsidRPr="000C4AB8" w:rsidRDefault="00EC3307" w:rsidP="00EC33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não atende diretamente ao núcleo da sua tese.</w:t>
      </w:r>
    </w:p>
    <w:p w14:paraId="468C847B" w14:textId="77777777" w:rsidR="00EC3307" w:rsidRPr="000C4AB8" w:rsidRDefault="00EC3307" w:rsidP="00EC3307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75642F8B">
          <v:rect id="_x0000_i1030" style="width:0;height:1.5pt" o:hralign="center" o:hrstd="t" o:hr="t" fillcolor="#a0a0a0" stroked="f"/>
        </w:pict>
      </w:r>
    </w:p>
    <w:p w14:paraId="17C33389" w14:textId="77777777" w:rsidR="00EC3307" w:rsidRPr="000C4AB8" w:rsidRDefault="00EC3307" w:rsidP="00EC33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C4AB8">
        <w:rPr>
          <w:rFonts w:eastAsia="Times New Roman" w:cs="Times New Roman"/>
          <w:b/>
          <w:bCs/>
          <w:sz w:val="36"/>
          <w:szCs w:val="36"/>
          <w:lang w:eastAsia="pt-PT"/>
        </w:rPr>
        <w:t>4) Aderência ao tema da sua tese</w:t>
      </w:r>
    </w:p>
    <w:p w14:paraId="369CC1DF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Tema: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C4AB8">
        <w:rPr>
          <w:rFonts w:eastAsia="Times New Roman" w:cs="Times New Roman"/>
          <w:i/>
          <w:iCs/>
          <w:sz w:val="24"/>
          <w:szCs w:val="24"/>
          <w:lang w:eastAsia="pt-PT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3091"/>
      </w:tblGrid>
      <w:tr w:rsidR="00EC3307" w:rsidRPr="000C4AB8" w14:paraId="5C6DADD1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65D35" w14:textId="77777777" w:rsidR="00EC3307" w:rsidRPr="000C4AB8" w:rsidRDefault="00EC3307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2F281E2" w14:textId="77777777" w:rsidR="00EC3307" w:rsidRPr="000C4AB8" w:rsidRDefault="00EC3307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Avaliação</w:t>
            </w:r>
          </w:p>
        </w:tc>
      </w:tr>
      <w:tr w:rsidR="00EC3307" w:rsidRPr="000C4AB8" w14:paraId="048ED9AC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085C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6F79EAB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⚠️</w:t>
            </w: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Presentes, mas não centrais</w:t>
            </w:r>
          </w:p>
        </w:tc>
      </w:tr>
      <w:tr w:rsidR="00EC3307" w:rsidRPr="000C4AB8" w14:paraId="16A77A73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3CE6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1CCA4436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Sim</w:t>
            </w:r>
          </w:p>
        </w:tc>
      </w:tr>
      <w:tr w:rsidR="00EC3307" w:rsidRPr="000C4AB8" w14:paraId="370A0A80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5569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5E06697F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Sim</w:t>
            </w:r>
          </w:p>
        </w:tc>
      </w:tr>
      <w:tr w:rsidR="00EC3307" w:rsidRPr="000C4AB8" w14:paraId="51E36803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906B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494E0A06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❌</w:t>
            </w: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Não</w:t>
            </w:r>
          </w:p>
        </w:tc>
      </w:tr>
      <w:tr w:rsidR="00EC3307" w:rsidRPr="000C4AB8" w14:paraId="222A1DEC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2125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>Clima explícito</w:t>
            </w:r>
          </w:p>
        </w:tc>
        <w:tc>
          <w:tcPr>
            <w:tcW w:w="0" w:type="auto"/>
            <w:vAlign w:val="center"/>
            <w:hideMark/>
          </w:tcPr>
          <w:p w14:paraId="31764B0E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❌</w:t>
            </w: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Não</w:t>
            </w:r>
          </w:p>
        </w:tc>
      </w:tr>
      <w:tr w:rsidR="00EC3307" w:rsidRPr="000C4AB8" w14:paraId="49C0B717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A54D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lastRenderedPageBreak/>
              <w:t>Relação clima → falha</w:t>
            </w:r>
          </w:p>
        </w:tc>
        <w:tc>
          <w:tcPr>
            <w:tcW w:w="0" w:type="auto"/>
            <w:vAlign w:val="center"/>
            <w:hideMark/>
          </w:tcPr>
          <w:p w14:paraId="2D344826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❌</w:t>
            </w: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Não</w:t>
            </w:r>
          </w:p>
        </w:tc>
      </w:tr>
      <w:tr w:rsidR="00EC3307" w:rsidRPr="000C4AB8" w14:paraId="37FF0F27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CCAB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>Base conceitual para índice</w:t>
            </w:r>
          </w:p>
        </w:tc>
        <w:tc>
          <w:tcPr>
            <w:tcW w:w="0" w:type="auto"/>
            <w:vAlign w:val="center"/>
            <w:hideMark/>
          </w:tcPr>
          <w:p w14:paraId="14847166" w14:textId="77777777" w:rsidR="00EC3307" w:rsidRPr="000C4AB8" w:rsidRDefault="00EC3307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C4AB8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C4AB8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Forte</w:t>
            </w:r>
          </w:p>
        </w:tc>
      </w:tr>
    </w:tbl>
    <w:p w14:paraId="4EF519E1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Aderência direta: média</w:t>
      </w:r>
      <w:r w:rsidRPr="000C4AB8">
        <w:rPr>
          <w:rFonts w:eastAsia="Times New Roman" w:cs="Times New Roman"/>
          <w:sz w:val="24"/>
          <w:szCs w:val="24"/>
          <w:lang w:eastAsia="pt-PT"/>
        </w:rPr>
        <w:br/>
      </w:r>
      <w:r w:rsidRPr="000C4AB8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Aderência conceitual/metodológica: alta</w:t>
      </w:r>
    </w:p>
    <w:p w14:paraId="2BEEB2A4" w14:textId="77777777" w:rsidR="00EC3307" w:rsidRPr="000C4AB8" w:rsidRDefault="00EC3307" w:rsidP="00EC3307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F80D8F1">
          <v:rect id="_x0000_i1031" style="width:0;height:1.5pt" o:hralign="center" o:hrstd="t" o:hr="t" fillcolor="#a0a0a0" stroked="f"/>
        </w:pict>
      </w:r>
    </w:p>
    <w:p w14:paraId="7F48189D" w14:textId="77777777" w:rsidR="00EC3307" w:rsidRPr="000C4AB8" w:rsidRDefault="00EC3307" w:rsidP="00EC33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C4AB8">
        <w:rPr>
          <w:rFonts w:eastAsia="Times New Roman" w:cs="Times New Roman"/>
          <w:b/>
          <w:bCs/>
          <w:sz w:val="36"/>
          <w:szCs w:val="36"/>
          <w:lang w:eastAsia="pt-PT"/>
        </w:rPr>
        <w:t>5) Utilidade real para a sua tese</w:t>
      </w:r>
    </w:p>
    <w:p w14:paraId="0BE5337A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Este artigo é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muito útil</w:t>
      </w:r>
      <w:r w:rsidRPr="000C4AB8">
        <w:rPr>
          <w:rFonts w:eastAsia="Times New Roman" w:cs="Times New Roman"/>
          <w:sz w:val="24"/>
          <w:szCs w:val="24"/>
          <w:lang w:eastAsia="pt-PT"/>
        </w:rPr>
        <w:t>, se usado corretamente:</w:t>
      </w:r>
    </w:p>
    <w:p w14:paraId="72F48D49" w14:textId="77777777" w:rsidR="00EC3307" w:rsidRPr="000C4AB8" w:rsidRDefault="00EC3307" w:rsidP="00EC33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como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referência metodológica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para:</w:t>
      </w:r>
    </w:p>
    <w:p w14:paraId="2ADD0BAD" w14:textId="77777777" w:rsidR="00EC3307" w:rsidRPr="000C4AB8" w:rsidRDefault="00EC3307" w:rsidP="00EC33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construção de índices simples;</w:t>
      </w:r>
    </w:p>
    <w:p w14:paraId="7D15C3E3" w14:textId="77777777" w:rsidR="00EC3307" w:rsidRPr="000C4AB8" w:rsidRDefault="00EC3307" w:rsidP="00EC33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uso de disponibilidade e tempo;</w:t>
      </w:r>
    </w:p>
    <w:p w14:paraId="4708C5B7" w14:textId="77777777" w:rsidR="00EC3307" w:rsidRPr="000C4AB8" w:rsidRDefault="00EC3307" w:rsidP="00EC33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para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comparação crítica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com o seu índice:</w:t>
      </w:r>
    </w:p>
    <w:p w14:paraId="3695C6D6" w14:textId="77777777" w:rsidR="00EC3307" w:rsidRPr="000C4AB8" w:rsidRDefault="00EC3307" w:rsidP="00EC33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você pode mostrar que o seu método:</w:t>
      </w:r>
    </w:p>
    <w:p w14:paraId="2AF9D2EA" w14:textId="77777777" w:rsidR="00EC3307" w:rsidRPr="000C4AB8" w:rsidRDefault="00EC3307" w:rsidP="00EC330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incorpora explicitamente eventos extremos,</w:t>
      </w:r>
    </w:p>
    <w:p w14:paraId="4D1D264F" w14:textId="77777777" w:rsidR="00EC3307" w:rsidRPr="000C4AB8" w:rsidRDefault="00EC3307" w:rsidP="00EC330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>supera a limitação “resiliência = atributo intrínseco”;</w:t>
      </w:r>
    </w:p>
    <w:p w14:paraId="72539397" w14:textId="77777777" w:rsidR="00EC3307" w:rsidRPr="000C4AB8" w:rsidRDefault="00EC3307" w:rsidP="00EC33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eastAsia="Times New Roman" w:cs="Times New Roman"/>
          <w:sz w:val="24"/>
          <w:szCs w:val="24"/>
          <w:lang w:eastAsia="pt-PT"/>
        </w:rPr>
        <w:t xml:space="preserve">como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ponte entre confiabilidade clássica e resiliência moderna</w:t>
      </w:r>
      <w:r w:rsidRPr="000C4AB8">
        <w:rPr>
          <w:rFonts w:eastAsia="Times New Roman" w:cs="Times New Roman"/>
          <w:sz w:val="24"/>
          <w:szCs w:val="24"/>
          <w:lang w:eastAsia="pt-PT"/>
        </w:rPr>
        <w:t>.</w:t>
      </w:r>
    </w:p>
    <w:p w14:paraId="0B520178" w14:textId="77777777" w:rsidR="00EC3307" w:rsidRPr="000C4AB8" w:rsidRDefault="00EC3307" w:rsidP="00EC330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C4AB8">
        <w:rPr>
          <w:rFonts w:ascii="Segoe UI Emoji" w:eastAsia="Times New Roman" w:hAnsi="Segoe UI Emoji" w:cs="Segoe UI Emoji"/>
          <w:sz w:val="24"/>
          <w:szCs w:val="24"/>
          <w:lang w:eastAsia="pt-PT"/>
        </w:rPr>
        <w:t>⚠️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C4AB8">
        <w:rPr>
          <w:rFonts w:eastAsia="Times New Roman" w:cs="Times New Roman"/>
          <w:b/>
          <w:bCs/>
          <w:sz w:val="24"/>
          <w:szCs w:val="24"/>
          <w:lang w:eastAsia="pt-PT"/>
        </w:rPr>
        <w:t>Não deve ser usado como base única</w:t>
      </w:r>
      <w:r w:rsidRPr="000C4AB8">
        <w:rPr>
          <w:rFonts w:eastAsia="Times New Roman" w:cs="Times New Roman"/>
          <w:sz w:val="24"/>
          <w:szCs w:val="24"/>
          <w:lang w:eastAsia="pt-PT"/>
        </w:rPr>
        <w:t xml:space="preserve"> do seu índice de resiliência de LT.</w:t>
      </w:r>
    </w:p>
    <w:p w14:paraId="640F0493" w14:textId="77777777" w:rsidR="00EC3307" w:rsidRPr="000C4AB8" w:rsidRDefault="00EC3307" w:rsidP="00EC3307"/>
    <w:p w14:paraId="55071DBE" w14:textId="77777777" w:rsidR="00244F3B" w:rsidRPr="004719B6" w:rsidRDefault="00244F3B" w:rsidP="004719B6">
      <w:pPr>
        <w:rPr>
          <w:lang w:val="pt-BR"/>
        </w:rPr>
      </w:pPr>
    </w:p>
    <w:sectPr w:rsidR="00244F3B" w:rsidRPr="004719B6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61B1"/>
    <w:multiLevelType w:val="multilevel"/>
    <w:tmpl w:val="271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72EE"/>
    <w:multiLevelType w:val="multilevel"/>
    <w:tmpl w:val="E85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5E66"/>
    <w:multiLevelType w:val="multilevel"/>
    <w:tmpl w:val="68B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3732"/>
    <w:multiLevelType w:val="multilevel"/>
    <w:tmpl w:val="5CEE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63C14"/>
    <w:multiLevelType w:val="multilevel"/>
    <w:tmpl w:val="1FA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E7D45"/>
    <w:multiLevelType w:val="multilevel"/>
    <w:tmpl w:val="12A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90E33"/>
    <w:multiLevelType w:val="multilevel"/>
    <w:tmpl w:val="EB9E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652666">
    <w:abstractNumId w:val="1"/>
  </w:num>
  <w:num w:numId="2" w16cid:durableId="25065033">
    <w:abstractNumId w:val="0"/>
  </w:num>
  <w:num w:numId="3" w16cid:durableId="1940673007">
    <w:abstractNumId w:val="2"/>
  </w:num>
  <w:num w:numId="4" w16cid:durableId="279990719">
    <w:abstractNumId w:val="6"/>
  </w:num>
  <w:num w:numId="5" w16cid:durableId="1930114749">
    <w:abstractNumId w:val="5"/>
  </w:num>
  <w:num w:numId="6" w16cid:durableId="1663583228">
    <w:abstractNumId w:val="3"/>
  </w:num>
  <w:num w:numId="7" w16cid:durableId="2035577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B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22366E"/>
    <w:rsid w:val="00244F3B"/>
    <w:rsid w:val="0024739D"/>
    <w:rsid w:val="00264441"/>
    <w:rsid w:val="00285BB1"/>
    <w:rsid w:val="00347332"/>
    <w:rsid w:val="00393441"/>
    <w:rsid w:val="0039444F"/>
    <w:rsid w:val="003F704C"/>
    <w:rsid w:val="004234AF"/>
    <w:rsid w:val="00423B9B"/>
    <w:rsid w:val="00435A17"/>
    <w:rsid w:val="004719B6"/>
    <w:rsid w:val="004B5BB7"/>
    <w:rsid w:val="00502614"/>
    <w:rsid w:val="005272F0"/>
    <w:rsid w:val="00595B01"/>
    <w:rsid w:val="0061413D"/>
    <w:rsid w:val="00744A15"/>
    <w:rsid w:val="00785F46"/>
    <w:rsid w:val="007B1727"/>
    <w:rsid w:val="007C5C3D"/>
    <w:rsid w:val="007E0455"/>
    <w:rsid w:val="007E69F0"/>
    <w:rsid w:val="00804B85"/>
    <w:rsid w:val="008226B2"/>
    <w:rsid w:val="00830E29"/>
    <w:rsid w:val="008C0D5E"/>
    <w:rsid w:val="00A04542"/>
    <w:rsid w:val="00A74270"/>
    <w:rsid w:val="00A773DD"/>
    <w:rsid w:val="00A91291"/>
    <w:rsid w:val="00AA4524"/>
    <w:rsid w:val="00AC5231"/>
    <w:rsid w:val="00B429E5"/>
    <w:rsid w:val="00B753F9"/>
    <w:rsid w:val="00B7708D"/>
    <w:rsid w:val="00B811CD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C3307"/>
    <w:rsid w:val="00ED59D0"/>
    <w:rsid w:val="00EF273B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2419F"/>
  <w15:chartTrackingRefBased/>
  <w15:docId w15:val="{CC0451AE-F819-4765-8258-3BCFCD0F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9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9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9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9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9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9B6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9B6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9B6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9B6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9B6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71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9B6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71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2149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2025-05-10T17:09:00Z</dcterms:created>
  <dcterms:modified xsi:type="dcterms:W3CDTF">2026-01-17T11:55:00Z</dcterms:modified>
</cp:coreProperties>
</file>