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6CDF" w14:textId="5960ECEC" w:rsidR="00AC5231" w:rsidRDefault="00246CF5">
      <w:pPr>
        <w:rPr>
          <w:lang w:val="en-US"/>
        </w:rPr>
      </w:pPr>
      <w:r w:rsidRPr="00246CF5">
        <w:rPr>
          <w:lang w:val="en-US"/>
        </w:rPr>
        <w:t>Improvement the resilience of the regional power system in Croatia</w:t>
      </w:r>
    </w:p>
    <w:p w14:paraId="3F820773" w14:textId="77777777" w:rsidR="00246CF5" w:rsidRDefault="00246CF5">
      <w:pPr>
        <w:rPr>
          <w:lang w:val="en-US"/>
        </w:rPr>
      </w:pPr>
    </w:p>
    <w:p w14:paraId="5318ABE9" w14:textId="77777777" w:rsidR="0007066B" w:rsidRPr="0007066B" w:rsidRDefault="0007066B" w:rsidP="000706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7487F52A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descreve um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caso real de melhoria da resiliência de um sistema regional de transmissão (Ístria, Croácia)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motivado por:</w:t>
      </w:r>
    </w:p>
    <w:p w14:paraId="1ED53F33" w14:textId="77777777" w:rsidR="0007066B" w:rsidRPr="0007066B" w:rsidRDefault="0007066B" w:rsidP="000706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 reais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(tempestades severas e descargas atmosféricas);</w:t>
      </w:r>
    </w:p>
    <w:p w14:paraId="75E65394" w14:textId="77777777" w:rsidR="0007066B" w:rsidRPr="0007066B" w:rsidRDefault="0007066B" w:rsidP="000706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simultâneas de linhas de transmissão de 220 kV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0213C9E" w14:textId="77777777" w:rsidR="0007066B" w:rsidRPr="0007066B" w:rsidRDefault="0007066B" w:rsidP="000706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indisponibilidade inesperada de geração (TPP Plomin)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61F49F3" w14:textId="77777777" w:rsidR="0007066B" w:rsidRPr="0007066B" w:rsidRDefault="0007066B" w:rsidP="000706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risco concreto de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blackout durante pico de carga de verão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64ACDE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claramente a resiliência do sistema de transmissão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explícita em linhas de transmissão HV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648A653" w14:textId="77777777" w:rsidR="0007066B" w:rsidRPr="0007066B" w:rsidRDefault="0007066B" w:rsidP="000706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DB6AF7">
          <v:rect id="_x0000_i1025" style="width:0;height:1.5pt" o:hralign="center" o:hrstd="t" o:hr="t" fillcolor="#a0a0a0" stroked="f"/>
        </w:pict>
      </w:r>
    </w:p>
    <w:p w14:paraId="3C21AAA6" w14:textId="77777777" w:rsidR="0007066B" w:rsidRPr="0007066B" w:rsidRDefault="0007066B" w:rsidP="000706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729C7CBE" w14:textId="77777777" w:rsidR="0007066B" w:rsidRPr="0007066B" w:rsidRDefault="0007066B" w:rsidP="000706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Encadeamento causal clima → falha → blackout</w:t>
      </w:r>
    </w:p>
    <w:p w14:paraId="786A6813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documenta um evento real ocorrido em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12/07/2012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527A634" w14:textId="77777777" w:rsidR="0007066B" w:rsidRPr="0007066B" w:rsidRDefault="0007066B" w:rsidP="000706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 severas + descargas atmosféricas;</w:t>
      </w:r>
    </w:p>
    <w:p w14:paraId="7D1FD1C2" w14:textId="77777777" w:rsidR="0007066B" w:rsidRPr="0007066B" w:rsidRDefault="0007066B" w:rsidP="000706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desligamento simultâneo:</w:t>
      </w:r>
    </w:p>
    <w:p w14:paraId="48BEFA82" w14:textId="77777777" w:rsidR="0007066B" w:rsidRPr="0007066B" w:rsidRDefault="0007066B" w:rsidP="0007066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 gerador G2 (210 MW),</w:t>
      </w:r>
    </w:p>
    <w:p w14:paraId="619D30F4" w14:textId="77777777" w:rsidR="0007066B" w:rsidRPr="0007066B" w:rsidRDefault="0007066B" w:rsidP="0007066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das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duas linhas 220 kV Melina–Plomin e Pehlin–Plomin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(parcialmente no mesmo traçado);</w:t>
      </w:r>
    </w:p>
    <w:p w14:paraId="666BF7C6" w14:textId="77777777" w:rsidR="0007066B" w:rsidRPr="0007066B" w:rsidRDefault="0007066B" w:rsidP="000706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sobrecarga das linhas 110 kV;</w:t>
      </w:r>
    </w:p>
    <w:p w14:paraId="570D5FCA" w14:textId="77777777" w:rsidR="0007066B" w:rsidRPr="0007066B" w:rsidRDefault="0007066B" w:rsidP="000706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blackout regional da Ístria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720A1B3" w14:textId="77777777" w:rsidR="0007066B" w:rsidRPr="0007066B" w:rsidRDefault="0007066B" w:rsidP="000706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tempo total de restabelecimento ≈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37 minutos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(págs. 1–2).</w:t>
      </w:r>
    </w:p>
    <w:p w14:paraId="79E81748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exemplo empírico direto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múltipla induzida por evento climático extremo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no escopo da sua tese.</w:t>
      </w:r>
    </w:p>
    <w:p w14:paraId="57D21B64" w14:textId="77777777" w:rsidR="0007066B" w:rsidRPr="0007066B" w:rsidRDefault="0007066B" w:rsidP="000706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A393B8">
          <v:rect id="_x0000_i1026" style="width:0;height:1.5pt" o:hralign="center" o:hrstd="t" o:hr="t" fillcolor="#a0a0a0" stroked="f"/>
        </w:pict>
      </w:r>
    </w:p>
    <w:p w14:paraId="3271BD72" w14:textId="77777777" w:rsidR="0007066B" w:rsidRPr="0007066B" w:rsidRDefault="0007066B" w:rsidP="000706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Estrutura formal das fases da resiliência</w:t>
      </w:r>
    </w:p>
    <w:p w14:paraId="507D8A64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adota explicitamente o enquadramento clássico de resiliência (Fig. 2, pág. 2):</w:t>
      </w:r>
    </w:p>
    <w:p w14:paraId="7B32FF35" w14:textId="77777777" w:rsidR="0007066B" w:rsidRPr="0007066B" w:rsidRDefault="0007066B" w:rsidP="0007066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 pré-distúrbio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E758F22" w14:textId="77777777" w:rsidR="0007066B" w:rsidRPr="0007066B" w:rsidRDefault="0007066B" w:rsidP="0007066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 do distúrbio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01075C" w14:textId="77777777" w:rsidR="0007066B" w:rsidRPr="0007066B" w:rsidRDefault="0007066B" w:rsidP="0007066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 de restauração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841F93" w14:textId="77777777" w:rsidR="0007066B" w:rsidRPr="0007066B" w:rsidRDefault="0007066B" w:rsidP="0007066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 de recuperação / melhoria da resiliência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8BC2B5C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definidos tempos característicos:</w:t>
      </w:r>
    </w:p>
    <w:p w14:paraId="75D843E8" w14:textId="77777777" w:rsidR="0007066B" w:rsidRPr="0007066B" w:rsidRDefault="0007066B" w:rsidP="0007066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duração do distúrbio (Δ),</w:t>
      </w:r>
    </w:p>
    <w:p w14:paraId="04B2132C" w14:textId="77777777" w:rsidR="0007066B" w:rsidRPr="0007066B" w:rsidRDefault="0007066B" w:rsidP="0007066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restauração (Tc),</w:t>
      </w:r>
    </w:p>
    <w:p w14:paraId="3E962413" w14:textId="77777777" w:rsidR="0007066B" w:rsidRPr="0007066B" w:rsidRDefault="0007066B" w:rsidP="0007066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 (Tr),</w:t>
      </w:r>
    </w:p>
    <w:p w14:paraId="20F2C35F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análise direta do impacto destes tempos no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resiliência do sistema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3DDE84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Totalmente compatível com métricas baseadas em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desempenho × tempo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C8E40FA" w14:textId="77777777" w:rsidR="0007066B" w:rsidRPr="0007066B" w:rsidRDefault="0007066B" w:rsidP="000706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66DBC7">
          <v:rect id="_x0000_i1027" style="width:0;height:1.5pt" o:hralign="center" o:hrstd="t" o:hr="t" fillcolor="#a0a0a0" stroked="f"/>
        </w:pict>
      </w:r>
    </w:p>
    <w:p w14:paraId="485F7430" w14:textId="77777777" w:rsidR="0007066B" w:rsidRPr="0007066B" w:rsidRDefault="0007066B" w:rsidP="000706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Medidas concretas de aumento da resiliência (hardening + operação)</w:t>
      </w:r>
    </w:p>
    <w:p w14:paraId="10F92637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descreve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reais implementadas pelo TSO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divididas em:</w:t>
      </w:r>
    </w:p>
    <w:p w14:paraId="413BB81D" w14:textId="77777777" w:rsidR="0007066B" w:rsidRPr="0007066B" w:rsidRDefault="0007066B" w:rsidP="0007066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a) Medidas de curto prazo</w:t>
      </w:r>
    </w:p>
    <w:p w14:paraId="2B1309DA" w14:textId="77777777" w:rsidR="0007066B" w:rsidRPr="0007066B" w:rsidRDefault="0007066B" w:rsidP="0007066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ajustes de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proteção de linhas 220 kV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evitar desligamentos simultâneos;</w:t>
      </w:r>
    </w:p>
    <w:p w14:paraId="146DB775" w14:textId="77777777" w:rsidR="0007066B" w:rsidRPr="0007066B" w:rsidRDefault="0007066B" w:rsidP="0007066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coordenação com o TSO esloveno nas linhas 110 kV;</w:t>
      </w:r>
    </w:p>
    <w:p w14:paraId="5023AD03" w14:textId="77777777" w:rsidR="0007066B" w:rsidRPr="0007066B" w:rsidRDefault="0007066B" w:rsidP="0007066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monitorização meteorológica ativa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B13E0F" w14:textId="77777777" w:rsidR="0007066B" w:rsidRPr="0007066B" w:rsidRDefault="0007066B" w:rsidP="0007066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pré-posicionamento de equipas em subestações;</w:t>
      </w:r>
    </w:p>
    <w:p w14:paraId="41A6837D" w14:textId="77777777" w:rsidR="0007066B" w:rsidRPr="0007066B" w:rsidRDefault="0007066B" w:rsidP="0007066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procedimentos especiais de restauração rápida.</w:t>
      </w:r>
    </w:p>
    <w:p w14:paraId="2C0F3B89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Objetivo explícito: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reduzir Δ e Tc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4, pág. 3).</w:t>
      </w:r>
    </w:p>
    <w:p w14:paraId="5F6BCA8A" w14:textId="77777777" w:rsidR="0007066B" w:rsidRPr="0007066B" w:rsidRDefault="0007066B" w:rsidP="0007066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b) Medidas de longo prazo</w:t>
      </w:r>
    </w:p>
    <w:p w14:paraId="4545ECD2" w14:textId="77777777" w:rsidR="0007066B" w:rsidRPr="0007066B" w:rsidRDefault="0007066B" w:rsidP="0007066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instalação de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 Surge Arresters (LSA)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torres críticas;</w:t>
      </w:r>
    </w:p>
    <w:p w14:paraId="269B0237" w14:textId="77777777" w:rsidR="0007066B" w:rsidRPr="0007066B" w:rsidRDefault="0007066B" w:rsidP="0007066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de proteção contra descargas atmosféricas;</w:t>
      </w:r>
    </w:p>
    <w:p w14:paraId="23B0CE3A" w14:textId="77777777" w:rsidR="0007066B" w:rsidRPr="0007066B" w:rsidRDefault="0007066B" w:rsidP="0007066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da capacidade das linhas 110 kV;</w:t>
      </w:r>
    </w:p>
    <w:p w14:paraId="50E43D2B" w14:textId="77777777" w:rsidR="0007066B" w:rsidRPr="0007066B" w:rsidRDefault="0007066B" w:rsidP="0007066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planeamento de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nova linha 220 kV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F0B7A01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Medidas típicas de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 de linhas de transmissão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6545AF8" w14:textId="77777777" w:rsidR="0007066B" w:rsidRPr="0007066B" w:rsidRDefault="0007066B" w:rsidP="000706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0A2448">
          <v:rect id="_x0000_i1028" style="width:0;height:1.5pt" o:hralign="center" o:hrstd="t" o:hr="t" fillcolor="#a0a0a0" stroked="f"/>
        </w:pict>
      </w:r>
    </w:p>
    <w:p w14:paraId="7D32B76E" w14:textId="77777777" w:rsidR="0007066B" w:rsidRPr="0007066B" w:rsidRDefault="0007066B" w:rsidP="000706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Análise custo-benefício (CBA) associada à resiliência</w:t>
      </w:r>
    </w:p>
    <w:p w14:paraId="1DB3E0E9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CBA quantitativa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raro na literatura:</w:t>
      </w:r>
    </w:p>
    <w:p w14:paraId="18C81E7E" w14:textId="77777777" w:rsidR="0007066B" w:rsidRPr="0007066B" w:rsidRDefault="0007066B" w:rsidP="0007066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blackout hipotético de 240 MW por 1,5 h </w:t>
      </w:r>
      <w:r w:rsidRPr="0007066B">
        <w:rPr>
          <w:rFonts w:ascii="Cambria Math" w:eastAsia="Times New Roman" w:hAnsi="Cambria Math" w:cs="Cambria Math"/>
          <w:kern w:val="0"/>
          <w:sz w:val="24"/>
          <w:szCs w:val="24"/>
          <w:lang w:eastAsia="pt-PT"/>
          <w14:ligatures w14:val="none"/>
        </w:rPr>
        <w:t>⇒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240 MWh não fornecidos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0468510" w14:textId="77777777" w:rsidR="0007066B" w:rsidRPr="0007066B" w:rsidRDefault="0007066B" w:rsidP="0007066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diretos e indiretos do blackout;</w:t>
      </w:r>
    </w:p>
    <w:p w14:paraId="3C6BA6FB" w14:textId="77777777" w:rsidR="0007066B" w:rsidRPr="0007066B" w:rsidRDefault="0007066B" w:rsidP="0007066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entre:</w:t>
      </w:r>
    </w:p>
    <w:p w14:paraId="08F1C1CE" w14:textId="77777777" w:rsidR="0007066B" w:rsidRPr="0007066B" w:rsidRDefault="0007066B" w:rsidP="0007066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de interrupção,</w:t>
      </w:r>
    </w:p>
    <w:p w14:paraId="3DA4AE6A" w14:textId="77777777" w:rsidR="0007066B" w:rsidRPr="0007066B" w:rsidRDefault="0007066B" w:rsidP="0007066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de medidas de resiliência.</w:t>
      </w:r>
    </w:p>
    <w:p w14:paraId="71C3E349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Resultados:</w:t>
      </w:r>
    </w:p>
    <w:p w14:paraId="02F34C01" w14:textId="77777777" w:rsidR="0007066B" w:rsidRPr="0007066B" w:rsidRDefault="0007066B" w:rsidP="0007066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LSA (~600 k€)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≈ custo de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 blackouts regionais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B765CE" w14:textId="77777777" w:rsidR="0007066B" w:rsidRPr="0007066B" w:rsidRDefault="0007066B" w:rsidP="0007066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justificação económica das medidas (Tabelas I e II, págs. 4–5).</w:t>
      </w:r>
    </w:p>
    <w:p w14:paraId="78C96674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forte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justificar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investimentos em resiliência de LT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16C6015" w14:textId="77777777" w:rsidR="0007066B" w:rsidRPr="0007066B" w:rsidRDefault="0007066B" w:rsidP="000706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1EA078">
          <v:rect id="_x0000_i1029" style="width:0;height:1.5pt" o:hralign="center" o:hrstd="t" o:hr="t" fillcolor="#a0a0a0" stroked="f"/>
        </w:pict>
      </w:r>
    </w:p>
    <w:p w14:paraId="15AEEDDB" w14:textId="77777777" w:rsidR="0007066B" w:rsidRPr="0007066B" w:rsidRDefault="0007066B" w:rsidP="000706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(não comprometem o valor)</w:t>
      </w:r>
    </w:p>
    <w:p w14:paraId="72E7B76F" w14:textId="77777777" w:rsidR="0007066B" w:rsidRPr="0007066B" w:rsidRDefault="0007066B" w:rsidP="0007066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matemático formal de resiliência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75051A" w14:textId="77777777" w:rsidR="0007066B" w:rsidRPr="0007066B" w:rsidRDefault="0007066B" w:rsidP="0007066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usa simulação probabilística avançada;</w:t>
      </w:r>
    </w:p>
    <w:p w14:paraId="2A517FF4" w14:textId="77777777" w:rsidR="0007066B" w:rsidRPr="0007066B" w:rsidRDefault="0007066B" w:rsidP="0007066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é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aplicada / TSO-driven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académica pura.</w:t>
      </w:r>
    </w:p>
    <w:p w14:paraId="13A66E63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 limitações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falhas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definem o papel do artigo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evidência empírica e operacional.</w:t>
      </w:r>
    </w:p>
    <w:p w14:paraId="72E58F06" w14:textId="77777777" w:rsidR="0007066B" w:rsidRPr="0007066B" w:rsidRDefault="0007066B" w:rsidP="000706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FEEBEB">
          <v:rect id="_x0000_i1030" style="width:0;height:1.5pt" o:hralign="center" o:hrstd="t" o:hr="t" fillcolor="#a0a0a0" stroked="f"/>
        </w:pict>
      </w:r>
    </w:p>
    <w:p w14:paraId="6BACC8D2" w14:textId="77777777" w:rsidR="0007066B" w:rsidRPr="0007066B" w:rsidRDefault="0007066B" w:rsidP="000706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EA11301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7066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124"/>
      </w:tblGrid>
      <w:tr w:rsidR="0007066B" w:rsidRPr="0007066B" w14:paraId="5D2D5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2EACC" w14:textId="77777777" w:rsidR="0007066B" w:rsidRPr="0007066B" w:rsidRDefault="0007066B" w:rsidP="0007066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1D6815B" w14:textId="77777777" w:rsidR="0007066B" w:rsidRPr="0007066B" w:rsidRDefault="0007066B" w:rsidP="0007066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7066B" w:rsidRPr="0007066B" w14:paraId="5B3AB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695A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HV</w:t>
            </w:r>
          </w:p>
        </w:tc>
        <w:tc>
          <w:tcPr>
            <w:tcW w:w="0" w:type="auto"/>
            <w:vAlign w:val="center"/>
            <w:hideMark/>
          </w:tcPr>
          <w:p w14:paraId="7EC15DDC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706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07066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Centrais</w:t>
            </w:r>
          </w:p>
        </w:tc>
      </w:tr>
      <w:tr w:rsidR="0007066B" w:rsidRPr="0007066B" w14:paraId="1E5DF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E3E2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1C5C5CB9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0706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07066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Reais (tempestades, raios)</w:t>
            </w:r>
          </w:p>
        </w:tc>
      </w:tr>
      <w:tr w:rsidR="0007066B" w:rsidRPr="0007066B" w14:paraId="25943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D009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Falhas múltiplas</w:t>
            </w:r>
          </w:p>
        </w:tc>
        <w:tc>
          <w:tcPr>
            <w:tcW w:w="0" w:type="auto"/>
            <w:vAlign w:val="center"/>
            <w:hideMark/>
          </w:tcPr>
          <w:p w14:paraId="20F9ADFB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7066B" w:rsidRPr="0007066B" w14:paraId="4E0F9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DC4B1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Blackout regional</w:t>
            </w:r>
          </w:p>
        </w:tc>
        <w:tc>
          <w:tcPr>
            <w:tcW w:w="0" w:type="auto"/>
            <w:vAlign w:val="center"/>
            <w:hideMark/>
          </w:tcPr>
          <w:p w14:paraId="197F91F8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7066B" w:rsidRPr="0007066B" w14:paraId="7C5E5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724F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6B6E2A6C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7066B" w:rsidRPr="0007066B" w14:paraId="01E78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F632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Hardening estrutural</w:t>
            </w:r>
          </w:p>
        </w:tc>
        <w:tc>
          <w:tcPr>
            <w:tcW w:w="0" w:type="auto"/>
            <w:vAlign w:val="center"/>
            <w:hideMark/>
          </w:tcPr>
          <w:p w14:paraId="0705BB1A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7066B" w:rsidRPr="0007066B" w14:paraId="43919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513A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Custo-benefício</w:t>
            </w:r>
          </w:p>
        </w:tc>
        <w:tc>
          <w:tcPr>
            <w:tcW w:w="0" w:type="auto"/>
            <w:vAlign w:val="center"/>
            <w:hideMark/>
          </w:tcPr>
          <w:p w14:paraId="5E92DF69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7066B" w:rsidRPr="0007066B" w14:paraId="3EC08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6DDE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matemático</w:t>
            </w:r>
          </w:p>
        </w:tc>
        <w:tc>
          <w:tcPr>
            <w:tcW w:w="0" w:type="auto"/>
            <w:vAlign w:val="center"/>
            <w:hideMark/>
          </w:tcPr>
          <w:p w14:paraId="49BBA548" w14:textId="77777777" w:rsidR="0007066B" w:rsidRPr="0007066B" w:rsidRDefault="0007066B" w:rsidP="000706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706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7B1B6395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global: muito alta (empírica + operacional)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4C857C4" w14:textId="77777777" w:rsidR="0007066B" w:rsidRPr="0007066B" w:rsidRDefault="0007066B" w:rsidP="000706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AD656B">
          <v:rect id="_x0000_i1031" style="width:0;height:1.5pt" o:hralign="center" o:hrstd="t" o:hr="t" fillcolor="#a0a0a0" stroked="f"/>
        </w:pict>
      </w:r>
    </w:p>
    <w:p w14:paraId="74DBF828" w14:textId="77777777" w:rsidR="0007066B" w:rsidRPr="0007066B" w:rsidRDefault="0007066B" w:rsidP="000706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direta para a sua tese</w:t>
      </w:r>
    </w:p>
    <w:p w14:paraId="35CBFD55" w14:textId="77777777" w:rsidR="0007066B" w:rsidRPr="0007066B" w:rsidRDefault="0007066B" w:rsidP="000706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excelente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DC287CF" w14:textId="77777777" w:rsidR="0007066B" w:rsidRPr="0007066B" w:rsidRDefault="0007066B" w:rsidP="000706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empírica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AE0F98C" w14:textId="77777777" w:rsidR="0007066B" w:rsidRPr="0007066B" w:rsidRDefault="0007066B" w:rsidP="000706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relevância prática da tese;</w:t>
      </w:r>
    </w:p>
    <w:p w14:paraId="03D258B0" w14:textId="77777777" w:rsidR="0007066B" w:rsidRPr="0007066B" w:rsidRDefault="0007066B" w:rsidP="000706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que:</w:t>
      </w:r>
    </w:p>
    <w:p w14:paraId="37A10FD6" w14:textId="77777777" w:rsidR="0007066B" w:rsidRPr="0007066B" w:rsidRDefault="0007066B" w:rsidP="0007066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eventos extremos já causam falhas múltiplas reais em redes de transmissão europeias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8E94B8D" w14:textId="77777777" w:rsidR="0007066B" w:rsidRPr="0007066B" w:rsidRDefault="0007066B" w:rsidP="000706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fundamentar capítulos sobre:</w:t>
      </w:r>
    </w:p>
    <w:p w14:paraId="69042CA6" w14:textId="77777777" w:rsidR="0007066B" w:rsidRPr="0007066B" w:rsidRDefault="0007066B" w:rsidP="0007066B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adaptação,</w:t>
      </w:r>
    </w:p>
    <w:p w14:paraId="6031C0A2" w14:textId="77777777" w:rsidR="0007066B" w:rsidRPr="0007066B" w:rsidRDefault="0007066B" w:rsidP="0007066B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hardening,</w:t>
      </w:r>
    </w:p>
    <w:p w14:paraId="6FB7E901" w14:textId="77777777" w:rsidR="0007066B" w:rsidRPr="0007066B" w:rsidRDefault="0007066B" w:rsidP="0007066B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 recuperação;</w:t>
      </w:r>
    </w:p>
    <w:p w14:paraId="7D72C99D" w14:textId="77777777" w:rsidR="0007066B" w:rsidRPr="0007066B" w:rsidRDefault="0007066B" w:rsidP="000706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discussões sobre </w:t>
      </w:r>
      <w:r w:rsidRPr="000706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restauração</w:t>
      </w:r>
      <w:r w:rsidRPr="000706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alinhando-se com Dobson (2018).</w:t>
      </w:r>
    </w:p>
    <w:p w14:paraId="02BA5055" w14:textId="77777777" w:rsidR="00246CF5" w:rsidRPr="00246CF5" w:rsidRDefault="00246CF5">
      <w:pPr>
        <w:rPr>
          <w:lang w:val="en-US"/>
        </w:rPr>
      </w:pPr>
    </w:p>
    <w:sectPr w:rsidR="00246CF5" w:rsidRPr="00246CF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65E"/>
    <w:multiLevelType w:val="multilevel"/>
    <w:tmpl w:val="4F0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433BC"/>
    <w:multiLevelType w:val="multilevel"/>
    <w:tmpl w:val="D690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533EC"/>
    <w:multiLevelType w:val="multilevel"/>
    <w:tmpl w:val="3248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30648"/>
    <w:multiLevelType w:val="multilevel"/>
    <w:tmpl w:val="642C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E33F6"/>
    <w:multiLevelType w:val="multilevel"/>
    <w:tmpl w:val="299C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94803"/>
    <w:multiLevelType w:val="multilevel"/>
    <w:tmpl w:val="A4D8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B2898"/>
    <w:multiLevelType w:val="multilevel"/>
    <w:tmpl w:val="0CAE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E60F6"/>
    <w:multiLevelType w:val="multilevel"/>
    <w:tmpl w:val="27FE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8326B"/>
    <w:multiLevelType w:val="multilevel"/>
    <w:tmpl w:val="C2E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14FF0"/>
    <w:multiLevelType w:val="multilevel"/>
    <w:tmpl w:val="FB0A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256998">
    <w:abstractNumId w:val="0"/>
  </w:num>
  <w:num w:numId="2" w16cid:durableId="1637683465">
    <w:abstractNumId w:val="6"/>
  </w:num>
  <w:num w:numId="3" w16cid:durableId="1182207090">
    <w:abstractNumId w:val="3"/>
  </w:num>
  <w:num w:numId="4" w16cid:durableId="831409165">
    <w:abstractNumId w:val="5"/>
  </w:num>
  <w:num w:numId="5" w16cid:durableId="243532106">
    <w:abstractNumId w:val="7"/>
  </w:num>
  <w:num w:numId="6" w16cid:durableId="2067413686">
    <w:abstractNumId w:val="2"/>
  </w:num>
  <w:num w:numId="7" w16cid:durableId="1742606197">
    <w:abstractNumId w:val="1"/>
  </w:num>
  <w:num w:numId="8" w16cid:durableId="156460808">
    <w:abstractNumId w:val="4"/>
  </w:num>
  <w:num w:numId="9" w16cid:durableId="55787598">
    <w:abstractNumId w:val="9"/>
  </w:num>
  <w:num w:numId="10" w16cid:durableId="12655778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CF5"/>
    <w:rsid w:val="000131F2"/>
    <w:rsid w:val="00050A60"/>
    <w:rsid w:val="0007066B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6CF5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6E282"/>
  <w15:chartTrackingRefBased/>
  <w15:docId w15:val="{21DF43B7-5686-4541-B540-B067B7B4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C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C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C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C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C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CF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CF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CF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CF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CF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46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CF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46C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066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7066B"/>
    <w:rPr>
      <w:b/>
      <w:bCs/>
    </w:rPr>
  </w:style>
  <w:style w:type="character" w:styleId="Emphasis">
    <w:name w:val="Emphasis"/>
    <w:basedOn w:val="DefaultParagraphFont"/>
    <w:uiPriority w:val="20"/>
    <w:qFormat/>
    <w:rsid w:val="000706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633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2026-01-01T22:47:00Z</dcterms:created>
  <dcterms:modified xsi:type="dcterms:W3CDTF">2026-01-01T22:51:00Z</dcterms:modified>
</cp:coreProperties>
</file>