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01418" w14:textId="77777777" w:rsidR="00EE1BEC" w:rsidRPr="00FF78A6" w:rsidRDefault="00EE1BEC" w:rsidP="00EE1BEC">
      <w:r w:rsidRPr="00FF78A6">
        <w:t>Título e Autores</w:t>
      </w:r>
    </w:p>
    <w:p w14:paraId="67EFA672" w14:textId="77777777" w:rsidR="00EE1BEC" w:rsidRDefault="00EE1BEC" w:rsidP="00EE1BEC">
      <w:r>
        <w:t>Título: Fragility curves for power transmission towers in Odisha, India, based on observed damage during 2019 Cyclone Fani</w:t>
      </w:r>
    </w:p>
    <w:p w14:paraId="503F2A19" w14:textId="77777777" w:rsidR="00EE1BEC" w:rsidRDefault="00EE1BEC" w:rsidP="00EE1BEC"/>
    <w:p w14:paraId="6FD1596C" w14:textId="77777777" w:rsidR="00EE1BEC" w:rsidRDefault="00EE1BEC" w:rsidP="00EE1BEC">
      <w:pPr>
        <w:rPr>
          <w:lang w:val="pt-BR"/>
        </w:rPr>
      </w:pPr>
      <w:r w:rsidRPr="00EE1BEC">
        <w:rPr>
          <w:lang w:val="pt-BR"/>
        </w:rPr>
        <w:t>Autores: Surender V. Raja, Manish Kumar*, Udit Bhatia – Indian Institute of Technology Gandhinagar, Índia</w:t>
      </w:r>
    </w:p>
    <w:p w14:paraId="6321A1B8" w14:textId="77777777" w:rsidR="00EE1BEC" w:rsidRPr="00EE1BEC" w:rsidRDefault="00EE1BEC" w:rsidP="00EE1BEC">
      <w:pPr>
        <w:rPr>
          <w:lang w:val="pt-BR"/>
        </w:rPr>
      </w:pPr>
    </w:p>
    <w:p w14:paraId="4D6087A8" w14:textId="6FBA1B42" w:rsidR="00EE1BEC" w:rsidRPr="00EE1BEC" w:rsidRDefault="00EE1BEC" w:rsidP="00EE1BEC">
      <w:pPr>
        <w:rPr>
          <w:lang w:val="pt-BR"/>
        </w:rPr>
      </w:pPr>
      <w:r w:rsidRPr="00EE1BEC">
        <w:rPr>
          <w:lang w:val="pt-BR"/>
        </w:rPr>
        <w:t>Resumo do Abstract</w:t>
      </w:r>
    </w:p>
    <w:p w14:paraId="0B4128F4" w14:textId="77777777" w:rsidR="00EE1BEC" w:rsidRDefault="00EE1BEC" w:rsidP="00EE1BEC">
      <w:pPr>
        <w:rPr>
          <w:lang w:val="pt-BR"/>
        </w:rPr>
      </w:pPr>
      <w:r w:rsidRPr="00EE1BEC">
        <w:rPr>
          <w:lang w:val="pt-BR"/>
        </w:rPr>
        <w:t>Este estudo apresenta o desenvolvimento de curvas de fragilidade para torres de transmissão de energia elétrica de alta tensão no estado de Odisha, Índia, com base nos danos observados durante o ciclone Fani em 2019. Foram considerados dois estados de dano: colapso e perda de funcionalidade. As curvas foram desenvolvidas usando o método Bounding EDP e incorporam incertezas aleatórias e epistêmicas, especialmente associadas à estimativa da velocidade do vento e ao tamanho amostral finito. As curvas resultantes se alinham bem com aquelas desenvolvidas em outras partes do mundo, apesar de limitações como a ausência de propriedades estruturais detalhadas das torres.</w:t>
      </w:r>
    </w:p>
    <w:p w14:paraId="1B1FCAE9" w14:textId="77777777" w:rsidR="00EE1BEC" w:rsidRPr="00EE1BEC" w:rsidRDefault="00EE1BEC" w:rsidP="00EE1BEC">
      <w:pPr>
        <w:rPr>
          <w:lang w:val="pt-BR"/>
        </w:rPr>
      </w:pPr>
    </w:p>
    <w:p w14:paraId="5DCCC1DA" w14:textId="77777777" w:rsidR="00EE1BEC" w:rsidRPr="00EE1BEC" w:rsidRDefault="00EE1BEC" w:rsidP="00EE1BEC">
      <w:pPr>
        <w:rPr>
          <w:lang w:val="pt-BR"/>
        </w:rPr>
      </w:pPr>
      <w:r w:rsidRPr="00EE1BEC">
        <w:rPr>
          <w:lang w:val="pt-BR"/>
        </w:rPr>
        <w:t>1. Introdução</w:t>
      </w:r>
    </w:p>
    <w:p w14:paraId="13359E4A" w14:textId="77777777" w:rsidR="00EE1BEC" w:rsidRDefault="00EE1BEC" w:rsidP="00EE1BEC">
      <w:pPr>
        <w:rPr>
          <w:lang w:val="pt-BR"/>
        </w:rPr>
      </w:pPr>
      <w:r w:rsidRPr="00EE1BEC">
        <w:rPr>
          <w:lang w:val="pt-BR"/>
        </w:rPr>
        <w:t>O artigo contextualiza a importância das infraestruturas críticas como redes de transmissão frente a desastres naturais. Aponta que fragility curves já foram desenvolvidas para outras regiões, mas normalmente sem considerar incertezas epistêmicas. O estudo reforça a relevância de se obter curvas regionais, especialmente em áreas propensas a ciclones como Odisha.</w:t>
      </w:r>
    </w:p>
    <w:p w14:paraId="08E0804E" w14:textId="77777777" w:rsidR="00EE1BEC" w:rsidRPr="00EE1BEC" w:rsidRDefault="00EE1BEC" w:rsidP="00EE1BEC">
      <w:pPr>
        <w:rPr>
          <w:lang w:val="pt-BR"/>
        </w:rPr>
      </w:pPr>
    </w:p>
    <w:p w14:paraId="0B064B69" w14:textId="77777777" w:rsidR="00EE1BEC" w:rsidRPr="00EE1BEC" w:rsidRDefault="00EE1BEC" w:rsidP="00EE1BEC">
      <w:pPr>
        <w:rPr>
          <w:lang w:val="pt-BR"/>
        </w:rPr>
      </w:pPr>
      <w:r w:rsidRPr="00EE1BEC">
        <w:rPr>
          <w:lang w:val="pt-BR"/>
        </w:rPr>
        <w:t>2. Dados de Danos no Ciclone Fani</w:t>
      </w:r>
    </w:p>
    <w:p w14:paraId="0B87BC69" w14:textId="77777777" w:rsidR="00EE1BEC" w:rsidRPr="00EE1BEC" w:rsidRDefault="00EE1BEC" w:rsidP="00EE1BEC">
      <w:pPr>
        <w:rPr>
          <w:lang w:val="pt-BR"/>
        </w:rPr>
      </w:pPr>
      <w:r w:rsidRPr="00EE1BEC">
        <w:rPr>
          <w:lang w:val="pt-BR"/>
        </w:rPr>
        <w:t>Com base em dados obtidos junto à OPTCL via Lei de Acesso à Informação (RTI), foram identificadas 87 torres colapsadas e 41 com danos parciais (totalizando 128 com perda de funcionalidade). As torres estavam localizadas em diversos corredores de transmissão de 132 e 220 kV. As alturas variaram entre 21 m e 50 m.</w:t>
      </w:r>
    </w:p>
    <w:p w14:paraId="7153C3A3" w14:textId="42C49255" w:rsidR="00EE1BEC" w:rsidRPr="00EE1BEC" w:rsidRDefault="00EE1BEC" w:rsidP="00EE1BEC">
      <w:pPr>
        <w:rPr>
          <w:lang w:val="pt-BR"/>
        </w:rPr>
      </w:pPr>
      <w:r w:rsidRPr="00EE1BEC">
        <w:rPr>
          <w:rFonts w:ascii="Segoe UI Emoji" w:hAnsi="Segoe UI Emoji" w:cs="Segoe UI Emoji"/>
          <w:lang w:val="pt-BR"/>
        </w:rPr>
        <w:t xml:space="preserve">- </w:t>
      </w:r>
      <w:r w:rsidRPr="00EE1BEC">
        <w:rPr>
          <w:lang w:val="pt-BR"/>
        </w:rPr>
        <w:t>Fig. 1: Foto de uma torre colapsada em Puri (crédito: The Hindu).</w:t>
      </w:r>
    </w:p>
    <w:p w14:paraId="35852699" w14:textId="472AE336" w:rsidR="00EE1BEC" w:rsidRPr="00EE1BEC" w:rsidRDefault="00EE1BEC" w:rsidP="00EE1BEC">
      <w:pPr>
        <w:rPr>
          <w:lang w:val="pt-BR"/>
        </w:rPr>
      </w:pPr>
      <w:r w:rsidRPr="00EE1BEC">
        <w:rPr>
          <w:rFonts w:ascii="Segoe UI Emoji" w:hAnsi="Segoe UI Emoji" w:cs="Segoe UI Emoji"/>
          <w:lang w:val="pt-BR"/>
        </w:rPr>
        <w:t xml:space="preserve">- </w:t>
      </w:r>
      <w:r w:rsidRPr="00EE1BEC">
        <w:rPr>
          <w:lang w:val="pt-BR"/>
        </w:rPr>
        <w:t>Fig. 2: Histogramas com alturas de torres danificadas (segregadas por tensão nominal: 132 e 220 kV).</w:t>
      </w:r>
    </w:p>
    <w:p w14:paraId="50268217" w14:textId="70E8ED2F" w:rsidR="00EE1BEC" w:rsidRPr="00EE1BEC" w:rsidRDefault="00EE1BEC" w:rsidP="00EE1BEC">
      <w:pPr>
        <w:rPr>
          <w:lang w:val="pt-BR"/>
        </w:rPr>
      </w:pPr>
      <w:r w:rsidRPr="00EE1BEC">
        <w:rPr>
          <w:rFonts w:ascii="Segoe UI Emoji" w:hAnsi="Segoe UI Emoji" w:cs="Segoe UI Emoji"/>
          <w:lang w:val="pt-BR"/>
        </w:rPr>
        <w:t xml:space="preserve">- </w:t>
      </w:r>
      <w:r w:rsidRPr="00EE1BEC">
        <w:rPr>
          <w:lang w:val="pt-BR"/>
        </w:rPr>
        <w:t>Fig. 3: Mapa com a localização de todas as 41.814 torres em Odisha (fonte: OpenStreetMap).</w:t>
      </w:r>
    </w:p>
    <w:p w14:paraId="70598345" w14:textId="67C78B4F" w:rsidR="00EE1BEC" w:rsidRDefault="00EE1BEC" w:rsidP="00EE1BEC">
      <w:pPr>
        <w:rPr>
          <w:lang w:val="pt-BR"/>
        </w:rPr>
      </w:pPr>
      <w:r w:rsidRPr="00EE1BEC">
        <w:rPr>
          <w:rFonts w:ascii="Segoe UI Emoji" w:hAnsi="Segoe UI Emoji" w:cs="Segoe UI Emoji"/>
          <w:lang w:val="pt-BR"/>
        </w:rPr>
        <w:t xml:space="preserve">- </w:t>
      </w:r>
      <w:r w:rsidRPr="00EE1BEC">
        <w:rPr>
          <w:lang w:val="pt-BR"/>
        </w:rPr>
        <w:t>Fig. 4: Mapas com torres colapsadas/parcialmente danificadas + trajetória do ciclone (dados do IMD).</w:t>
      </w:r>
    </w:p>
    <w:p w14:paraId="241C3DEA" w14:textId="77777777" w:rsidR="00EE1BEC" w:rsidRPr="00EE1BEC" w:rsidRDefault="00EE1BEC" w:rsidP="00EE1BEC">
      <w:pPr>
        <w:rPr>
          <w:lang w:val="pt-BR"/>
        </w:rPr>
      </w:pPr>
    </w:p>
    <w:p w14:paraId="350DE2E1" w14:textId="77777777" w:rsidR="00EE1BEC" w:rsidRPr="00EE1BEC" w:rsidRDefault="00EE1BEC" w:rsidP="00EE1BEC">
      <w:pPr>
        <w:rPr>
          <w:lang w:val="pt-BR"/>
        </w:rPr>
      </w:pPr>
      <w:r w:rsidRPr="00EE1BEC">
        <w:rPr>
          <w:lang w:val="pt-BR"/>
        </w:rPr>
        <w:t>3. Metodologia</w:t>
      </w:r>
    </w:p>
    <w:p w14:paraId="70C5B278" w14:textId="77777777" w:rsidR="00EE1BEC" w:rsidRPr="00EE1BEC" w:rsidRDefault="00EE1BEC" w:rsidP="00EE1BEC">
      <w:pPr>
        <w:rPr>
          <w:lang w:val="pt-BR"/>
        </w:rPr>
      </w:pPr>
      <w:r w:rsidRPr="00EE1BEC">
        <w:rPr>
          <w:lang w:val="pt-BR"/>
        </w:rPr>
        <w:t>Foram utilizadas velocidades de rajada de vento de 3 segundos a 10 m do solo como medida de intensidade (IM). As curvas foram construídas por bins de vento aplicando o método Bounding EDP. Duas curvas foram desenvolvidas: uma para colapso e outra para perda de funcionalidade. Parâmetros da função lognormal foram obtidos por mínimos quadrados.</w:t>
      </w:r>
    </w:p>
    <w:p w14:paraId="6B5C928A" w14:textId="45C284B3" w:rsidR="00EE1BEC" w:rsidRDefault="00EE1BEC" w:rsidP="00EE1BEC">
      <w:pPr>
        <w:rPr>
          <w:lang w:val="pt-BR"/>
        </w:rPr>
      </w:pPr>
      <w:r w:rsidRPr="00EE1BEC">
        <w:rPr>
          <w:rFonts w:ascii="Segoe UI Emoji" w:hAnsi="Segoe UI Emoji" w:cs="Segoe UI Emoji"/>
          <w:lang w:val="pt-BR"/>
        </w:rPr>
        <w:lastRenderedPageBreak/>
        <w:t xml:space="preserve">- </w:t>
      </w:r>
      <w:r w:rsidRPr="00EE1BEC">
        <w:rPr>
          <w:lang w:val="pt-BR"/>
        </w:rPr>
        <w:t>Fig. 5: Mediana e desvio padrão logarítmico em função do número de bins (n = 30 foi escolhido).</w:t>
      </w:r>
    </w:p>
    <w:p w14:paraId="39A9322F" w14:textId="77777777" w:rsidR="00EE1BEC" w:rsidRPr="00EE1BEC" w:rsidRDefault="00EE1BEC" w:rsidP="00EE1BEC">
      <w:pPr>
        <w:rPr>
          <w:lang w:val="pt-BR"/>
        </w:rPr>
      </w:pPr>
    </w:p>
    <w:p w14:paraId="596E962B" w14:textId="77777777" w:rsidR="00EE1BEC" w:rsidRPr="00EE1BEC" w:rsidRDefault="00EE1BEC" w:rsidP="00EE1BEC">
      <w:pPr>
        <w:rPr>
          <w:lang w:val="pt-BR"/>
        </w:rPr>
      </w:pPr>
      <w:r w:rsidRPr="00EE1BEC">
        <w:rPr>
          <w:lang w:val="pt-BR"/>
        </w:rPr>
        <w:t>4. Incertezas Consideradas</w:t>
      </w:r>
    </w:p>
    <w:p w14:paraId="0283C7F7" w14:textId="77777777" w:rsidR="00EE1BEC" w:rsidRPr="00EE1BEC" w:rsidRDefault="00EE1BEC" w:rsidP="00EE1BEC">
      <w:pPr>
        <w:rPr>
          <w:lang w:val="pt-BR"/>
        </w:rPr>
      </w:pPr>
      <w:r w:rsidRPr="00EE1BEC">
        <w:rPr>
          <w:lang w:val="pt-BR"/>
        </w:rPr>
        <w:t>Duas fontes de incerteza epistêmica foram consideradas: (1) estimativa da intensidade do vento e (2) tamanho amostral. Para a primeira, usaram-se 3 modelos de perfil radial de vento (WSE, WDE e HOL), com fatores de conversão de vento (CF) e fator de rajada (GF). Amostragem por hipercubo latino (LHS) foi utilizada com 1.000 conjuntos.</w:t>
      </w:r>
    </w:p>
    <w:p w14:paraId="149B0821" w14:textId="7CF54788" w:rsidR="00EE1BEC" w:rsidRPr="00EE1BEC" w:rsidRDefault="00EE1BEC" w:rsidP="00EE1BEC">
      <w:pPr>
        <w:rPr>
          <w:lang w:val="pt-BR"/>
        </w:rPr>
      </w:pPr>
      <w:r w:rsidRPr="00EE1BEC">
        <w:rPr>
          <w:rFonts w:ascii="Segoe UI Emoji" w:hAnsi="Segoe UI Emoji" w:cs="Segoe UI Emoji"/>
          <w:lang w:val="pt-BR"/>
        </w:rPr>
        <w:t xml:space="preserve">- </w:t>
      </w:r>
      <w:r w:rsidRPr="00EE1BEC">
        <w:rPr>
          <w:lang w:val="pt-BR"/>
        </w:rPr>
        <w:t>Fig. 6: Conversão entre vento de 3 min e de 3 s usando GF = 1.58 ± 0.1.</w:t>
      </w:r>
    </w:p>
    <w:p w14:paraId="1A9392B7" w14:textId="0AFFAA2E" w:rsidR="00EE1BEC" w:rsidRPr="00EE1BEC" w:rsidRDefault="00EE1BEC" w:rsidP="00EE1BEC">
      <w:pPr>
        <w:rPr>
          <w:lang w:val="pt-BR"/>
        </w:rPr>
      </w:pPr>
      <w:r w:rsidRPr="00EE1BEC">
        <w:rPr>
          <w:rFonts w:ascii="Segoe UI Emoji" w:hAnsi="Segoe UI Emoji" w:cs="Segoe UI Emoji"/>
          <w:lang w:val="pt-BR"/>
        </w:rPr>
        <w:t xml:space="preserve">- </w:t>
      </w:r>
      <w:r w:rsidRPr="00EE1BEC">
        <w:rPr>
          <w:lang w:val="pt-BR"/>
        </w:rPr>
        <w:t>Fig. 7: Perfis de vento estimados pelos três modelos em dois momentos do ciclone.</w:t>
      </w:r>
    </w:p>
    <w:p w14:paraId="2A702DDB" w14:textId="4114EA5B" w:rsidR="00EE1BEC" w:rsidRPr="00EE1BEC" w:rsidRDefault="00EE1BEC" w:rsidP="00EE1BEC">
      <w:pPr>
        <w:rPr>
          <w:lang w:val="pt-BR"/>
        </w:rPr>
      </w:pPr>
      <w:r w:rsidRPr="00EE1BEC">
        <w:rPr>
          <w:rFonts w:ascii="Segoe UI Emoji" w:hAnsi="Segoe UI Emoji" w:cs="Segoe UI Emoji"/>
          <w:lang w:val="pt-BR"/>
        </w:rPr>
        <w:t xml:space="preserve">- </w:t>
      </w:r>
      <w:r w:rsidRPr="00EE1BEC">
        <w:rPr>
          <w:lang w:val="pt-BR"/>
        </w:rPr>
        <w:t>Fig. 8: Perfil típico de vento no olho do ciclone.</w:t>
      </w:r>
    </w:p>
    <w:p w14:paraId="2C9BE6F4" w14:textId="21CCA7A9" w:rsidR="00EE1BEC" w:rsidRPr="00EE1BEC" w:rsidRDefault="00EE1BEC" w:rsidP="00EE1BEC">
      <w:pPr>
        <w:rPr>
          <w:lang w:val="pt-BR"/>
        </w:rPr>
      </w:pPr>
      <w:r w:rsidRPr="00EE1BEC">
        <w:rPr>
          <w:rFonts w:ascii="Segoe UI Emoji" w:hAnsi="Segoe UI Emoji" w:cs="Segoe UI Emoji"/>
          <w:lang w:val="pt-BR"/>
        </w:rPr>
        <w:t xml:space="preserve">- </w:t>
      </w:r>
      <w:r w:rsidRPr="00EE1BEC">
        <w:rPr>
          <w:lang w:val="pt-BR"/>
        </w:rPr>
        <w:t>Fig. 9: Histograma e função de distribuição acumulada empírica da velocidade do vento estimada.</w:t>
      </w:r>
    </w:p>
    <w:p w14:paraId="73F7E18C" w14:textId="5138E0E2" w:rsidR="00EE1BEC" w:rsidRPr="00EE1BEC" w:rsidRDefault="00EE1BEC" w:rsidP="00EE1BEC">
      <w:pPr>
        <w:rPr>
          <w:lang w:val="pt-BR"/>
        </w:rPr>
      </w:pPr>
      <w:r w:rsidRPr="00EE1BEC">
        <w:rPr>
          <w:rFonts w:ascii="Segoe UI Emoji" w:hAnsi="Segoe UI Emoji" w:cs="Segoe UI Emoji"/>
          <w:lang w:val="pt-BR"/>
        </w:rPr>
        <w:t xml:space="preserve">- </w:t>
      </w:r>
      <w:r w:rsidRPr="00EE1BEC">
        <w:rPr>
          <w:lang w:val="pt-BR"/>
        </w:rPr>
        <w:t>Fig. 10: Mediana e intervalo de confiança (68%) da estimativa de vento nas torres.</w:t>
      </w:r>
    </w:p>
    <w:p w14:paraId="0794BFEF" w14:textId="2DCDDEF1" w:rsidR="00EE1BEC" w:rsidRPr="00EE1BEC" w:rsidRDefault="00EE1BEC" w:rsidP="00EE1BEC">
      <w:pPr>
        <w:rPr>
          <w:lang w:val="pt-BR"/>
        </w:rPr>
      </w:pPr>
      <w:r w:rsidRPr="00EE1BEC">
        <w:rPr>
          <w:rFonts w:ascii="Segoe UI Emoji" w:hAnsi="Segoe UI Emoji" w:cs="Segoe UI Emoji"/>
          <w:lang w:val="pt-BR"/>
        </w:rPr>
        <w:t xml:space="preserve">- </w:t>
      </w:r>
      <w:r w:rsidRPr="00EE1BEC">
        <w:rPr>
          <w:lang w:val="pt-BR"/>
        </w:rPr>
        <w:t>Fig. 11: Localização das linhas de 132, 220 e 400 kV em relação ao ciclone.</w:t>
      </w:r>
    </w:p>
    <w:p w14:paraId="7093E1E7" w14:textId="235D9F12" w:rsidR="00EE1BEC" w:rsidRDefault="00EE1BEC" w:rsidP="00EE1BEC">
      <w:pPr>
        <w:rPr>
          <w:lang w:val="pt-BR"/>
        </w:rPr>
      </w:pPr>
      <w:r w:rsidRPr="00EE1BEC">
        <w:rPr>
          <w:rFonts w:ascii="Segoe UI Emoji" w:hAnsi="Segoe UI Emoji" w:cs="Segoe UI Emoji"/>
          <w:lang w:val="pt-BR"/>
        </w:rPr>
        <w:t xml:space="preserve">- </w:t>
      </w:r>
      <w:r w:rsidRPr="00EE1BEC">
        <w:rPr>
          <w:lang w:val="pt-BR"/>
        </w:rPr>
        <w:t>Fig. 12: Diagrama do processo de combinação das incertezas de vento + amostra.</w:t>
      </w:r>
    </w:p>
    <w:p w14:paraId="403AA742" w14:textId="77777777" w:rsidR="00EE1BEC" w:rsidRPr="00EE1BEC" w:rsidRDefault="00EE1BEC" w:rsidP="00EE1BEC">
      <w:pPr>
        <w:rPr>
          <w:lang w:val="pt-BR"/>
        </w:rPr>
      </w:pPr>
    </w:p>
    <w:p w14:paraId="744E4FF4" w14:textId="77777777" w:rsidR="00EE1BEC" w:rsidRPr="00EE1BEC" w:rsidRDefault="00EE1BEC" w:rsidP="00EE1BEC">
      <w:pPr>
        <w:rPr>
          <w:lang w:val="pt-BR"/>
        </w:rPr>
      </w:pPr>
      <w:r w:rsidRPr="00EE1BEC">
        <w:rPr>
          <w:lang w:val="pt-BR"/>
        </w:rPr>
        <w:t>5. Resultados e Discussão</w:t>
      </w:r>
    </w:p>
    <w:p w14:paraId="7B5E395A" w14:textId="77777777" w:rsidR="00EE1BEC" w:rsidRPr="00EE1BEC" w:rsidRDefault="00EE1BEC" w:rsidP="00EE1BEC">
      <w:pPr>
        <w:rPr>
          <w:lang w:val="pt-BR"/>
        </w:rPr>
      </w:pPr>
      <w:r w:rsidRPr="00EE1BEC">
        <w:rPr>
          <w:lang w:val="pt-BR"/>
        </w:rPr>
        <w:t>Foram obtidas curvas de fragilidade com e sem incertezas. A comparação das curvas indica que a incerteza na estimativa da intensidade (vento) domina a variação nas curvas. Para a funcionalidade: mediana ≈ 280 km/h; para colapso: ≈ 292 km/h. Exceções ocorrem a baixas intensidades onde colapso supera perda de funcionalidade — atribuído ao desvio padrão logarítmico maior.</w:t>
      </w:r>
    </w:p>
    <w:p w14:paraId="68CB1952" w14:textId="12CF7425" w:rsidR="00EE1BEC" w:rsidRPr="00EE1BEC" w:rsidRDefault="00EE1BEC" w:rsidP="00EE1BEC">
      <w:pPr>
        <w:rPr>
          <w:lang w:val="pt-BR"/>
        </w:rPr>
      </w:pPr>
      <w:r w:rsidRPr="00EE1BEC">
        <w:rPr>
          <w:rFonts w:ascii="Segoe UI Emoji" w:hAnsi="Segoe UI Emoji" w:cs="Segoe UI Emoji"/>
          <w:lang w:val="pt-BR"/>
        </w:rPr>
        <w:t xml:space="preserve">- </w:t>
      </w:r>
      <w:r w:rsidRPr="00EE1BEC">
        <w:rPr>
          <w:lang w:val="pt-BR"/>
        </w:rPr>
        <w:t>Fig. 13 (a-f): Conjuntos de curvas para ambos estados de dano e três cenários de incerteza (IM, FS, ambos).</w:t>
      </w:r>
    </w:p>
    <w:p w14:paraId="529740B8" w14:textId="5D0521DB" w:rsidR="00EE1BEC" w:rsidRPr="00EE1BEC" w:rsidRDefault="00EE1BEC" w:rsidP="00EE1BEC">
      <w:pPr>
        <w:rPr>
          <w:lang w:val="pt-BR"/>
        </w:rPr>
      </w:pPr>
      <w:r>
        <w:rPr>
          <w:rFonts w:ascii="Segoe UI Emoji" w:hAnsi="Segoe UI Emoji" w:cs="Segoe UI Emoji"/>
          <w:lang w:val="pt-BR"/>
        </w:rPr>
        <w:t xml:space="preserve">- </w:t>
      </w:r>
      <w:r w:rsidRPr="00EE1BEC">
        <w:rPr>
          <w:lang w:val="pt-BR"/>
        </w:rPr>
        <w:t>Tabela 1: Parâmetros das curvas para percentis 2.5, 16, 50, 84 e 97.5 — para ambas funções.</w:t>
      </w:r>
    </w:p>
    <w:p w14:paraId="0F9ABC32" w14:textId="0FEBE98A" w:rsidR="00EE1BEC" w:rsidRPr="00EE1BEC" w:rsidRDefault="00EE1BEC" w:rsidP="00EE1BEC">
      <w:pPr>
        <w:rPr>
          <w:lang w:val="pt-BR"/>
        </w:rPr>
      </w:pPr>
      <w:r w:rsidRPr="00EE1BEC">
        <w:rPr>
          <w:rFonts w:ascii="Segoe UI Emoji" w:hAnsi="Segoe UI Emoji" w:cs="Segoe UI Emoji"/>
          <w:lang w:val="pt-BR"/>
        </w:rPr>
        <w:t xml:space="preserve">- </w:t>
      </w:r>
      <w:r w:rsidRPr="00EE1BEC">
        <w:rPr>
          <w:lang w:val="pt-BR"/>
        </w:rPr>
        <w:t>Fig. 14: Comparação com outras curvas da literatura (Quanta, Panteli, Fu).</w:t>
      </w:r>
    </w:p>
    <w:p w14:paraId="3E328C7A" w14:textId="65FF1E03" w:rsidR="00EE1BEC" w:rsidRDefault="00EE1BEC" w:rsidP="00EE1BEC">
      <w:pPr>
        <w:rPr>
          <w:lang w:val="pt-BR"/>
        </w:rPr>
      </w:pPr>
      <w:r w:rsidRPr="00EE1BEC">
        <w:rPr>
          <w:rFonts w:ascii="Segoe UI Emoji" w:hAnsi="Segoe UI Emoji" w:cs="Segoe UI Emoji"/>
          <w:lang w:val="pt-BR"/>
        </w:rPr>
        <w:t xml:space="preserve">- </w:t>
      </w:r>
      <w:r w:rsidRPr="00EE1BEC">
        <w:rPr>
          <w:lang w:val="pt-BR"/>
        </w:rPr>
        <w:t>Tabela 2: Mediana e desvio das curvas comparadas.</w:t>
      </w:r>
    </w:p>
    <w:p w14:paraId="3A3A3531" w14:textId="77777777" w:rsidR="00EE1BEC" w:rsidRPr="00EE1BEC" w:rsidRDefault="00EE1BEC" w:rsidP="00EE1BEC">
      <w:pPr>
        <w:rPr>
          <w:lang w:val="pt-BR"/>
        </w:rPr>
      </w:pPr>
    </w:p>
    <w:p w14:paraId="3443F4A5" w14:textId="77777777" w:rsidR="00EE1BEC" w:rsidRPr="00EE1BEC" w:rsidRDefault="00EE1BEC" w:rsidP="00EE1BEC">
      <w:pPr>
        <w:rPr>
          <w:lang w:val="pt-BR"/>
        </w:rPr>
      </w:pPr>
      <w:r w:rsidRPr="00EE1BEC">
        <w:rPr>
          <w:lang w:val="pt-BR"/>
        </w:rPr>
        <w:t>6. Conclusão</w:t>
      </w:r>
    </w:p>
    <w:p w14:paraId="2E0D2CFE" w14:textId="77777777" w:rsidR="00EE1BEC" w:rsidRDefault="00EE1BEC" w:rsidP="00EE1BEC">
      <w:pPr>
        <w:rPr>
          <w:lang w:val="pt-BR"/>
        </w:rPr>
      </w:pPr>
      <w:r w:rsidRPr="00EE1BEC">
        <w:rPr>
          <w:lang w:val="pt-BR"/>
        </w:rPr>
        <w:t>Curvas de fragilidade regionais para torres de transmissão foram desenvolvidas considerando incertezas epistêmicas e aleatórias. Mesmo com limitações (ex: uso de um único evento e dados incompletos), as curvas servem como referência para planejar estratégias de reforço e avaliação de risco. Recomenda-se o uso dessas curvas em outras regiões costeiras do subcontinente indiano.</w:t>
      </w:r>
    </w:p>
    <w:p w14:paraId="09D5184A" w14:textId="77777777" w:rsidR="00FF78A6" w:rsidRDefault="00FF78A6" w:rsidP="00EE1BEC">
      <w:pPr>
        <w:rPr>
          <w:lang w:val="pt-BR"/>
        </w:rPr>
      </w:pPr>
    </w:p>
    <w:p w14:paraId="70568798" w14:textId="77777777" w:rsidR="00FF78A6" w:rsidRDefault="00FF78A6" w:rsidP="00FF78A6">
      <w:r w:rsidRPr="0022787F">
        <w:t>Fragility curves for power transmission towers in Odisha, India, based on observed damage during 2019 Cyclone Fani</w:t>
      </w:r>
    </w:p>
    <w:p w14:paraId="429CC875" w14:textId="77777777" w:rsidR="00FF78A6" w:rsidRDefault="00FF78A6" w:rsidP="00FF78A6"/>
    <w:p w14:paraId="13C2FC42" w14:textId="77777777" w:rsidR="00FF78A6" w:rsidRPr="00EC43BB" w:rsidRDefault="00FF78A6" w:rsidP="00FF78A6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pt-PT"/>
        </w:rPr>
      </w:pPr>
      <w:r w:rsidRPr="00EC43BB">
        <w:rPr>
          <w:rFonts w:eastAsia="Times New Roman" w:cs="Times New Roman"/>
          <w:b/>
          <w:bCs/>
          <w:sz w:val="36"/>
          <w:szCs w:val="36"/>
          <w:lang w:eastAsia="pt-PT"/>
        </w:rPr>
        <w:lastRenderedPageBreak/>
        <w:t>Avaliação técnica resumida — Artigo de 2021</w:t>
      </w:r>
    </w:p>
    <w:p w14:paraId="3A543BF4" w14:textId="77777777" w:rsidR="00FF78A6" w:rsidRPr="00EC43BB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Arquivo:</w:t>
      </w:r>
      <w:r w:rsidRPr="00EC43BB">
        <w:rPr>
          <w:rFonts w:eastAsia="Times New Roman" w:cs="Times New Roman"/>
          <w:sz w:val="24"/>
          <w:szCs w:val="24"/>
          <w:lang w:eastAsia="pt-PT"/>
        </w:rPr>
        <w:br/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2021 Fragility curves for power transmission towers in Odisha, India, based on observed damage during 2019 Cyclone Fani – arXiv.pdf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</w:t>
      </w:r>
    </w:p>
    <w:p w14:paraId="4C8CE086" w14:textId="77777777" w:rsidR="00FF78A6" w:rsidRPr="00EC43BB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2021 Fragility curves for power…</w:t>
      </w:r>
    </w:p>
    <w:p w14:paraId="538E4933" w14:textId="77777777" w:rsidR="00FF78A6" w:rsidRPr="00EC43BB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Título: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Fragility curves for power transmission towers in Odisha, India, based on observed damage during 2019 Cyclone Fani</w:t>
      </w:r>
      <w:r w:rsidRPr="00EC43BB">
        <w:rPr>
          <w:rFonts w:eastAsia="Times New Roman" w:cs="Times New Roman"/>
          <w:sz w:val="24"/>
          <w:szCs w:val="24"/>
          <w:lang w:eastAsia="pt-PT"/>
        </w:rPr>
        <w:br/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Autores: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Surender V. Raja; Manish Kumar; Udit Bhatia</w:t>
      </w:r>
      <w:r w:rsidRPr="00EC43BB">
        <w:rPr>
          <w:rFonts w:eastAsia="Times New Roman" w:cs="Times New Roman"/>
          <w:sz w:val="24"/>
          <w:szCs w:val="24"/>
          <w:lang w:eastAsia="pt-PT"/>
        </w:rPr>
        <w:br/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Fonte: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arXiv (pré-print, posteriormente submetido a periódico)</w:t>
      </w:r>
      <w:r w:rsidRPr="00EC43BB">
        <w:rPr>
          <w:rFonts w:eastAsia="Times New Roman" w:cs="Times New Roman"/>
          <w:sz w:val="24"/>
          <w:szCs w:val="24"/>
          <w:lang w:eastAsia="pt-PT"/>
        </w:rPr>
        <w:br/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Ano: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2021</w:t>
      </w:r>
    </w:p>
    <w:p w14:paraId="149AFF2C" w14:textId="77777777" w:rsidR="00FF78A6" w:rsidRPr="00EC43BB" w:rsidRDefault="00FF78A6" w:rsidP="00FF78A6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6450B4D4">
          <v:rect id="_x0000_i1025" style="width:0;height:1.5pt" o:hralign="center" o:hrstd="t" o:hr="t" fillcolor="#a0a0a0" stroked="f"/>
        </w:pict>
      </w:r>
    </w:p>
    <w:p w14:paraId="193C0611" w14:textId="77777777" w:rsidR="00FF78A6" w:rsidRPr="00EC43BB" w:rsidRDefault="00FF78A6" w:rsidP="00FF78A6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pt-PT"/>
        </w:rPr>
      </w:pPr>
      <w:r w:rsidRPr="00EC43BB">
        <w:rPr>
          <w:rFonts w:eastAsia="Times New Roman" w:cs="Times New Roman"/>
          <w:b/>
          <w:bCs/>
          <w:sz w:val="27"/>
          <w:szCs w:val="27"/>
          <w:lang w:eastAsia="pt-PT"/>
        </w:rPr>
        <w:t>1) Foco real do artigo</w:t>
      </w:r>
    </w:p>
    <w:p w14:paraId="2EC16DCE" w14:textId="77777777" w:rsidR="00FF78A6" w:rsidRPr="00EC43BB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O artigo tem como objetivo central:</w:t>
      </w:r>
    </w:p>
    <w:p w14:paraId="4D9E3115" w14:textId="77777777" w:rsidR="00FF78A6" w:rsidRPr="00EC43BB" w:rsidRDefault="00FF78A6" w:rsidP="00FF78A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desenvolver curvas de fragilidade empíricas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para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torres de transmissão de alta tensão</w:t>
      </w:r>
      <w:r w:rsidRPr="00EC43BB">
        <w:rPr>
          <w:rFonts w:eastAsia="Times New Roman" w:cs="Times New Roman"/>
          <w:sz w:val="24"/>
          <w:szCs w:val="24"/>
          <w:lang w:eastAsia="pt-PT"/>
        </w:rPr>
        <w:t>;</w:t>
      </w:r>
    </w:p>
    <w:p w14:paraId="48CDC3C7" w14:textId="77777777" w:rsidR="00FF78A6" w:rsidRPr="00EC43BB" w:rsidRDefault="00FF78A6" w:rsidP="00FF78A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 xml:space="preserve">com base em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dados reais de danos observados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durante o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Ciclone Fani (2019)</w:t>
      </w:r>
      <w:r w:rsidRPr="00EC43BB">
        <w:rPr>
          <w:rFonts w:eastAsia="Times New Roman" w:cs="Times New Roman"/>
          <w:sz w:val="24"/>
          <w:szCs w:val="24"/>
          <w:lang w:eastAsia="pt-PT"/>
        </w:rPr>
        <w:t>, na Índia;</w:t>
      </w:r>
    </w:p>
    <w:p w14:paraId="18DC7845" w14:textId="77777777" w:rsidR="00FF78A6" w:rsidRPr="00EC43BB" w:rsidRDefault="00FF78A6" w:rsidP="00FF78A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considerando explicitamente:</w:t>
      </w:r>
    </w:p>
    <w:p w14:paraId="5CFEB3C6" w14:textId="77777777" w:rsidR="00FF78A6" w:rsidRPr="00EC43BB" w:rsidRDefault="00FF78A6" w:rsidP="00FF78A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colapso estrutural</w:t>
      </w:r>
      <w:r w:rsidRPr="00EC43BB">
        <w:rPr>
          <w:rFonts w:eastAsia="Times New Roman" w:cs="Times New Roman"/>
          <w:sz w:val="24"/>
          <w:szCs w:val="24"/>
          <w:lang w:eastAsia="pt-PT"/>
        </w:rPr>
        <w:t>;</w:t>
      </w:r>
    </w:p>
    <w:p w14:paraId="3243A26D" w14:textId="77777777" w:rsidR="00FF78A6" w:rsidRPr="00EC43BB" w:rsidRDefault="00FF78A6" w:rsidP="00FF78A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disrupção funcional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(dano parcial);</w:t>
      </w:r>
    </w:p>
    <w:p w14:paraId="67BAEDDC" w14:textId="77777777" w:rsidR="00FF78A6" w:rsidRPr="00EC43BB" w:rsidRDefault="00FF78A6" w:rsidP="00FF78A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 xml:space="preserve">incorporando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incertezas aleatórias e epistêmicas</w:t>
      </w:r>
      <w:r w:rsidRPr="00EC43BB">
        <w:rPr>
          <w:rFonts w:eastAsia="Times New Roman" w:cs="Times New Roman"/>
          <w:sz w:val="24"/>
          <w:szCs w:val="24"/>
          <w:lang w:eastAsia="pt-PT"/>
        </w:rPr>
        <w:t>, especialmente na estimativa da velocidade do vento.</w:t>
      </w:r>
    </w:p>
    <w:p w14:paraId="09440EF4" w14:textId="77777777" w:rsidR="00FF78A6" w:rsidRPr="00EC43BB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ascii="Segoe UI Symbol" w:eastAsia="Times New Roman" w:hAnsi="Segoe UI Symbol" w:cs="Segoe UI Symbol"/>
          <w:sz w:val="24"/>
          <w:szCs w:val="24"/>
          <w:lang w:eastAsia="pt-PT"/>
        </w:rPr>
        <w:t>➡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O foco é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diretamente estrutural, climático e empírico</w:t>
      </w:r>
      <w:r w:rsidRPr="00EC43BB">
        <w:rPr>
          <w:rFonts w:eastAsia="Times New Roman" w:cs="Times New Roman"/>
          <w:sz w:val="24"/>
          <w:szCs w:val="24"/>
          <w:lang w:eastAsia="pt-PT"/>
        </w:rPr>
        <w:t>, exatamente no eixo da sua tese.</w:t>
      </w:r>
    </w:p>
    <w:p w14:paraId="12FE6E0D" w14:textId="77777777" w:rsidR="00FF78A6" w:rsidRPr="00EC43BB" w:rsidRDefault="00FF78A6" w:rsidP="00FF78A6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07361A89">
          <v:rect id="_x0000_i1026" style="width:0;height:1.5pt" o:hralign="center" o:hrstd="t" o:hr="t" fillcolor="#a0a0a0" stroked="f"/>
        </w:pict>
      </w:r>
    </w:p>
    <w:p w14:paraId="45D0A02B" w14:textId="77777777" w:rsidR="00FF78A6" w:rsidRPr="00EC43BB" w:rsidRDefault="00FF78A6" w:rsidP="00FF78A6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pt-PT"/>
        </w:rPr>
      </w:pPr>
      <w:r w:rsidRPr="00EC43BB">
        <w:rPr>
          <w:rFonts w:eastAsia="Times New Roman" w:cs="Times New Roman"/>
          <w:b/>
          <w:bCs/>
          <w:sz w:val="27"/>
          <w:szCs w:val="27"/>
          <w:lang w:eastAsia="pt-PT"/>
        </w:rPr>
        <w:t>2) Contribuições técnicas centrais</w:t>
      </w:r>
    </w:p>
    <w:p w14:paraId="6F9D7B58" w14:textId="77777777" w:rsidR="00FF78A6" w:rsidRPr="00EC43BB" w:rsidRDefault="00FF78A6" w:rsidP="00FF78A6">
      <w:pPr>
        <w:spacing w:before="100" w:beforeAutospacing="1" w:after="100" w:afterAutospacing="1"/>
        <w:outlineLvl w:val="3"/>
        <w:rPr>
          <w:rFonts w:eastAsia="Times New Roman" w:cs="Times New Roman"/>
          <w:b/>
          <w:bCs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2.1 Uso de dados reais pós-evento (grande diferencial)</w:t>
      </w:r>
    </w:p>
    <w:p w14:paraId="0791C420" w14:textId="77777777" w:rsidR="00FF78A6" w:rsidRPr="00EC43BB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O artigo baseia-se em:</w:t>
      </w:r>
    </w:p>
    <w:p w14:paraId="7E1DBB7D" w14:textId="77777777" w:rsidR="00FF78A6" w:rsidRPr="00EC43BB" w:rsidRDefault="00FF78A6" w:rsidP="00FF78A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 xml:space="preserve">dados oficiais obtidos via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Right to Information Act (RTI)</w:t>
      </w:r>
      <w:r w:rsidRPr="00EC43BB">
        <w:rPr>
          <w:rFonts w:eastAsia="Times New Roman" w:cs="Times New Roman"/>
          <w:sz w:val="24"/>
          <w:szCs w:val="24"/>
          <w:lang w:eastAsia="pt-PT"/>
        </w:rPr>
        <w:t>;</w:t>
      </w:r>
    </w:p>
    <w:p w14:paraId="55AEAFA2" w14:textId="77777777" w:rsidR="00FF78A6" w:rsidRPr="00FF78A6" w:rsidRDefault="00FF78A6" w:rsidP="00FF78A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FF78A6">
        <w:rPr>
          <w:rFonts w:eastAsia="Times New Roman" w:cs="Times New Roman"/>
          <w:b/>
          <w:bCs/>
          <w:sz w:val="24"/>
          <w:szCs w:val="24"/>
          <w:lang w:val="pt-PT" w:eastAsia="pt-PT"/>
        </w:rPr>
        <w:lastRenderedPageBreak/>
        <w:t>87 torres colapsadas</w:t>
      </w:r>
      <w:r w:rsidRPr="00FF78A6">
        <w:rPr>
          <w:rFonts w:eastAsia="Times New Roman" w:cs="Times New Roman"/>
          <w:sz w:val="24"/>
          <w:szCs w:val="24"/>
          <w:lang w:val="pt-PT" w:eastAsia="pt-PT"/>
        </w:rPr>
        <w:t xml:space="preserve"> e </w:t>
      </w:r>
      <w:r w:rsidRPr="00FF78A6">
        <w:rPr>
          <w:rFonts w:eastAsia="Times New Roman" w:cs="Times New Roman"/>
          <w:b/>
          <w:bCs/>
          <w:sz w:val="24"/>
          <w:szCs w:val="24"/>
          <w:lang w:val="pt-PT" w:eastAsia="pt-PT"/>
        </w:rPr>
        <w:t>41 parcialmente danificadas</w:t>
      </w:r>
      <w:r w:rsidRPr="00FF78A6">
        <w:rPr>
          <w:rFonts w:eastAsia="Times New Roman" w:cs="Times New Roman"/>
          <w:sz w:val="24"/>
          <w:szCs w:val="24"/>
          <w:lang w:val="pt-PT" w:eastAsia="pt-PT"/>
        </w:rPr>
        <w:t>;</w:t>
      </w:r>
    </w:p>
    <w:p w14:paraId="2994B232" w14:textId="77777777" w:rsidR="00FF78A6" w:rsidRPr="00FF78A6" w:rsidRDefault="00FF78A6" w:rsidP="00FF78A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FF78A6">
        <w:rPr>
          <w:rFonts w:eastAsia="Times New Roman" w:cs="Times New Roman"/>
          <w:b/>
          <w:bCs/>
          <w:sz w:val="24"/>
          <w:szCs w:val="24"/>
          <w:lang w:val="pt-PT" w:eastAsia="pt-PT"/>
        </w:rPr>
        <w:t>41.814 torres</w:t>
      </w:r>
      <w:r w:rsidRPr="00FF78A6">
        <w:rPr>
          <w:rFonts w:eastAsia="Times New Roman" w:cs="Times New Roman"/>
          <w:sz w:val="24"/>
          <w:szCs w:val="24"/>
          <w:lang w:val="pt-PT" w:eastAsia="pt-PT"/>
        </w:rPr>
        <w:t xml:space="preserve"> consideradas como universo estatístico;</w:t>
      </w:r>
    </w:p>
    <w:p w14:paraId="4884E18F" w14:textId="77777777" w:rsidR="00FF78A6" w:rsidRPr="00FF78A6" w:rsidRDefault="00FF78A6" w:rsidP="00FF78A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FF78A6">
        <w:rPr>
          <w:rFonts w:eastAsia="Times New Roman" w:cs="Times New Roman"/>
          <w:sz w:val="24"/>
          <w:szCs w:val="24"/>
          <w:lang w:val="pt-PT" w:eastAsia="pt-PT"/>
        </w:rPr>
        <w:t>corredores reais de 132 kV e 220 kV.</w:t>
      </w:r>
    </w:p>
    <w:p w14:paraId="2CCE0A09" w14:textId="77777777" w:rsidR="00FF78A6" w:rsidRPr="00FF78A6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pt-PT" w:eastAsia="pt-PT"/>
        </w:rPr>
      </w:pPr>
      <w:r w:rsidRPr="00FF78A6">
        <w:rPr>
          <w:rFonts w:ascii="Segoe UI Symbol" w:eastAsia="Times New Roman" w:hAnsi="Segoe UI Symbol" w:cs="Segoe UI Symbol"/>
          <w:sz w:val="24"/>
          <w:szCs w:val="24"/>
          <w:lang w:val="pt-PT" w:eastAsia="pt-PT"/>
        </w:rPr>
        <w:t>➡</w:t>
      </w:r>
      <w:r w:rsidRPr="00FF78A6">
        <w:rPr>
          <w:rFonts w:eastAsia="Times New Roman" w:cs="Times New Roman"/>
          <w:sz w:val="24"/>
          <w:szCs w:val="24"/>
          <w:lang w:val="pt-PT" w:eastAsia="pt-PT"/>
        </w:rPr>
        <w:t xml:space="preserve"> Trata-se de </w:t>
      </w:r>
      <w:r w:rsidRPr="00FF78A6">
        <w:rPr>
          <w:rFonts w:eastAsia="Times New Roman" w:cs="Times New Roman"/>
          <w:b/>
          <w:bCs/>
          <w:sz w:val="24"/>
          <w:szCs w:val="24"/>
          <w:lang w:val="pt-PT" w:eastAsia="pt-PT"/>
        </w:rPr>
        <w:t>evidência empírica rara</w:t>
      </w:r>
      <w:r w:rsidRPr="00FF78A6">
        <w:rPr>
          <w:rFonts w:eastAsia="Times New Roman" w:cs="Times New Roman"/>
          <w:sz w:val="24"/>
          <w:szCs w:val="24"/>
          <w:lang w:val="pt-PT" w:eastAsia="pt-PT"/>
        </w:rPr>
        <w:t>, altamente valiosa para estudos de resiliência.</w:t>
      </w:r>
    </w:p>
    <w:p w14:paraId="7763C200" w14:textId="77777777" w:rsidR="00FF78A6" w:rsidRPr="00EC43BB" w:rsidRDefault="00FF78A6" w:rsidP="00FF78A6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41A4B45D">
          <v:rect id="_x0000_i1027" style="width:0;height:1.5pt" o:hralign="center" o:hrstd="t" o:hr="t" fillcolor="#a0a0a0" stroked="f"/>
        </w:pict>
      </w:r>
    </w:p>
    <w:p w14:paraId="491665D2" w14:textId="77777777" w:rsidR="00FF78A6" w:rsidRPr="00FF78A6" w:rsidRDefault="00FF78A6" w:rsidP="00FF78A6">
      <w:pPr>
        <w:spacing w:before="100" w:beforeAutospacing="1" w:after="100" w:afterAutospacing="1"/>
        <w:outlineLvl w:val="3"/>
        <w:rPr>
          <w:rFonts w:eastAsia="Times New Roman" w:cs="Times New Roman"/>
          <w:b/>
          <w:bCs/>
          <w:sz w:val="24"/>
          <w:szCs w:val="24"/>
          <w:lang w:val="pt-PT" w:eastAsia="pt-PT"/>
        </w:rPr>
      </w:pPr>
      <w:r w:rsidRPr="00FF78A6">
        <w:rPr>
          <w:rFonts w:eastAsia="Times New Roman" w:cs="Times New Roman"/>
          <w:b/>
          <w:bCs/>
          <w:sz w:val="24"/>
          <w:szCs w:val="24"/>
          <w:lang w:val="pt-PT" w:eastAsia="pt-PT"/>
        </w:rPr>
        <w:t>2.2 Definição clara de estados de dano</w:t>
      </w:r>
    </w:p>
    <w:p w14:paraId="7B4D11D0" w14:textId="77777777" w:rsidR="00FF78A6" w:rsidRPr="00FF78A6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pt-PT" w:eastAsia="pt-PT"/>
        </w:rPr>
      </w:pPr>
      <w:r w:rsidRPr="00FF78A6">
        <w:rPr>
          <w:rFonts w:eastAsia="Times New Roman" w:cs="Times New Roman"/>
          <w:sz w:val="24"/>
          <w:szCs w:val="24"/>
          <w:lang w:val="pt-PT" w:eastAsia="pt-PT"/>
        </w:rPr>
        <w:t>São definidos dois estados bem alinhados com estudos de resiliência:</w:t>
      </w:r>
    </w:p>
    <w:p w14:paraId="56B14150" w14:textId="77777777" w:rsidR="00FF78A6" w:rsidRPr="00EC43BB" w:rsidRDefault="00FF78A6" w:rsidP="00FF78A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Collapse (CO)</w:t>
      </w:r>
    </w:p>
    <w:p w14:paraId="69237180" w14:textId="77777777" w:rsidR="00FF78A6" w:rsidRPr="00EC43BB" w:rsidRDefault="00FF78A6" w:rsidP="00FF78A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perda estrutural total;</w:t>
      </w:r>
    </w:p>
    <w:p w14:paraId="0FC63ABB" w14:textId="77777777" w:rsidR="00FF78A6" w:rsidRPr="00EC43BB" w:rsidRDefault="00FF78A6" w:rsidP="00FF78A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Functionality Disruption (FD)</w:t>
      </w:r>
    </w:p>
    <w:p w14:paraId="42C7DBBE" w14:textId="77777777" w:rsidR="00FF78A6" w:rsidRPr="00FF78A6" w:rsidRDefault="00FF78A6" w:rsidP="00FF78A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FF78A6">
        <w:rPr>
          <w:rFonts w:eastAsia="Times New Roman" w:cs="Times New Roman"/>
          <w:sz w:val="24"/>
          <w:szCs w:val="24"/>
          <w:lang w:val="pt-PT" w:eastAsia="pt-PT"/>
        </w:rPr>
        <w:t>perda operacional parcial (braços, picos, barras, membros).</w:t>
      </w:r>
    </w:p>
    <w:p w14:paraId="0845F0A1" w14:textId="77777777" w:rsidR="00FF78A6" w:rsidRPr="00FF78A6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pt-PT" w:eastAsia="pt-PT"/>
        </w:rPr>
      </w:pPr>
      <w:r w:rsidRPr="00FF78A6">
        <w:rPr>
          <w:rFonts w:ascii="Segoe UI Symbol" w:eastAsia="Times New Roman" w:hAnsi="Segoe UI Symbol" w:cs="Segoe UI Symbol"/>
          <w:sz w:val="24"/>
          <w:szCs w:val="24"/>
          <w:lang w:val="pt-PT" w:eastAsia="pt-PT"/>
        </w:rPr>
        <w:t>➡</w:t>
      </w:r>
      <w:r w:rsidRPr="00FF78A6">
        <w:rPr>
          <w:rFonts w:eastAsia="Times New Roman" w:cs="Times New Roman"/>
          <w:sz w:val="24"/>
          <w:szCs w:val="24"/>
          <w:lang w:val="pt-PT" w:eastAsia="pt-PT"/>
        </w:rPr>
        <w:t xml:space="preserve"> Esta distinção é </w:t>
      </w:r>
      <w:r w:rsidRPr="00FF78A6">
        <w:rPr>
          <w:rFonts w:eastAsia="Times New Roman" w:cs="Times New Roman"/>
          <w:b/>
          <w:bCs/>
          <w:sz w:val="24"/>
          <w:szCs w:val="24"/>
          <w:lang w:val="pt-PT" w:eastAsia="pt-PT"/>
        </w:rPr>
        <w:t>fundamental</w:t>
      </w:r>
      <w:r w:rsidRPr="00FF78A6">
        <w:rPr>
          <w:rFonts w:eastAsia="Times New Roman" w:cs="Times New Roman"/>
          <w:sz w:val="24"/>
          <w:szCs w:val="24"/>
          <w:lang w:val="pt-PT" w:eastAsia="pt-PT"/>
        </w:rPr>
        <w:t xml:space="preserve"> para análises de impacto e recuperação.</w:t>
      </w:r>
    </w:p>
    <w:p w14:paraId="7E2CF37A" w14:textId="77777777" w:rsidR="00FF78A6" w:rsidRPr="00EC43BB" w:rsidRDefault="00FF78A6" w:rsidP="00FF78A6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66A82F45">
          <v:rect id="_x0000_i1028" style="width:0;height:1.5pt" o:hralign="center" o:hrstd="t" o:hr="t" fillcolor="#a0a0a0" stroked="f"/>
        </w:pict>
      </w:r>
    </w:p>
    <w:p w14:paraId="1D8588DB" w14:textId="77777777" w:rsidR="00FF78A6" w:rsidRPr="00FF78A6" w:rsidRDefault="00FF78A6" w:rsidP="00FF78A6">
      <w:pPr>
        <w:spacing w:before="100" w:beforeAutospacing="1" w:after="100" w:afterAutospacing="1"/>
        <w:outlineLvl w:val="3"/>
        <w:rPr>
          <w:rFonts w:eastAsia="Times New Roman" w:cs="Times New Roman"/>
          <w:b/>
          <w:bCs/>
          <w:sz w:val="24"/>
          <w:szCs w:val="24"/>
          <w:lang w:val="pt-PT" w:eastAsia="pt-PT"/>
        </w:rPr>
      </w:pPr>
      <w:r w:rsidRPr="00FF78A6">
        <w:rPr>
          <w:rFonts w:eastAsia="Times New Roman" w:cs="Times New Roman"/>
          <w:b/>
          <w:bCs/>
          <w:sz w:val="24"/>
          <w:szCs w:val="24"/>
          <w:lang w:val="pt-PT" w:eastAsia="pt-PT"/>
        </w:rPr>
        <w:t>2.3 Intensidade do evento climático</w:t>
      </w:r>
    </w:p>
    <w:p w14:paraId="26E00503" w14:textId="77777777" w:rsidR="00FF78A6" w:rsidRPr="00FF78A6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pt-PT" w:eastAsia="pt-PT"/>
        </w:rPr>
      </w:pPr>
      <w:r w:rsidRPr="00FF78A6">
        <w:rPr>
          <w:rFonts w:eastAsia="Times New Roman" w:cs="Times New Roman"/>
          <w:sz w:val="24"/>
          <w:szCs w:val="24"/>
          <w:lang w:val="pt-PT" w:eastAsia="pt-PT"/>
        </w:rPr>
        <w:t>A intensidade do perigo é definida por:</w:t>
      </w:r>
    </w:p>
    <w:p w14:paraId="7B2D1A8E" w14:textId="77777777" w:rsidR="00FF78A6" w:rsidRPr="00FF78A6" w:rsidRDefault="00FF78A6" w:rsidP="00FF78A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FF78A6">
        <w:rPr>
          <w:rFonts w:eastAsia="Times New Roman" w:cs="Times New Roman"/>
          <w:b/>
          <w:bCs/>
          <w:sz w:val="24"/>
          <w:szCs w:val="24"/>
          <w:lang w:val="pt-PT" w:eastAsia="pt-PT"/>
        </w:rPr>
        <w:t>rajada de 3 segundos a 10 m de altura</w:t>
      </w:r>
      <w:r w:rsidRPr="00FF78A6">
        <w:rPr>
          <w:rFonts w:eastAsia="Times New Roman" w:cs="Times New Roman"/>
          <w:sz w:val="24"/>
          <w:szCs w:val="24"/>
          <w:lang w:val="pt-PT" w:eastAsia="pt-PT"/>
        </w:rPr>
        <w:t xml:space="preserve"> (IM);</w:t>
      </w:r>
    </w:p>
    <w:p w14:paraId="0C60AAF5" w14:textId="77777777" w:rsidR="00FF78A6" w:rsidRPr="00FF78A6" w:rsidRDefault="00FF78A6" w:rsidP="00FF78A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FF78A6">
        <w:rPr>
          <w:rFonts w:eastAsia="Times New Roman" w:cs="Times New Roman"/>
          <w:sz w:val="24"/>
          <w:szCs w:val="24"/>
          <w:lang w:val="pt-PT" w:eastAsia="pt-PT"/>
        </w:rPr>
        <w:t>coerente com normas indianas (IS 875);</w:t>
      </w:r>
    </w:p>
    <w:p w14:paraId="738B25BC" w14:textId="77777777" w:rsidR="00FF78A6" w:rsidRPr="00FF78A6" w:rsidRDefault="00FF78A6" w:rsidP="00FF78A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FF78A6">
        <w:rPr>
          <w:rFonts w:eastAsia="Times New Roman" w:cs="Times New Roman"/>
          <w:sz w:val="24"/>
          <w:szCs w:val="24"/>
          <w:lang w:val="pt-PT" w:eastAsia="pt-PT"/>
        </w:rPr>
        <w:t xml:space="preserve">estimada por </w:t>
      </w:r>
      <w:r w:rsidRPr="00FF78A6">
        <w:rPr>
          <w:rFonts w:eastAsia="Times New Roman" w:cs="Times New Roman"/>
          <w:b/>
          <w:bCs/>
          <w:sz w:val="24"/>
          <w:szCs w:val="24"/>
          <w:lang w:val="pt-PT" w:eastAsia="pt-PT"/>
        </w:rPr>
        <w:t>modelos de perfil radial de vento</w:t>
      </w:r>
      <w:r w:rsidRPr="00FF78A6">
        <w:rPr>
          <w:rFonts w:eastAsia="Times New Roman" w:cs="Times New Roman"/>
          <w:sz w:val="24"/>
          <w:szCs w:val="24"/>
          <w:lang w:val="pt-PT" w:eastAsia="pt-PT"/>
        </w:rPr>
        <w:t>:</w:t>
      </w:r>
    </w:p>
    <w:p w14:paraId="3C3387FF" w14:textId="77777777" w:rsidR="00FF78A6" w:rsidRPr="00EC43BB" w:rsidRDefault="00FF78A6" w:rsidP="00FF78A6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Willoughby (simples e duplo);</w:t>
      </w:r>
    </w:p>
    <w:p w14:paraId="1FF50E4A" w14:textId="77777777" w:rsidR="00FF78A6" w:rsidRPr="00EC43BB" w:rsidRDefault="00FF78A6" w:rsidP="00FF78A6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Holland;</w:t>
      </w:r>
    </w:p>
    <w:p w14:paraId="1731FFC2" w14:textId="77777777" w:rsidR="00FF78A6" w:rsidRPr="00EC43BB" w:rsidRDefault="00FF78A6" w:rsidP="00FF78A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conversão explícita entre:</w:t>
      </w:r>
    </w:p>
    <w:p w14:paraId="742D64E7" w14:textId="77777777" w:rsidR="00FF78A6" w:rsidRPr="00EC43BB" w:rsidRDefault="00FF78A6" w:rsidP="00FF78A6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vento médio de 3 min;</w:t>
      </w:r>
    </w:p>
    <w:p w14:paraId="0C84F14D" w14:textId="77777777" w:rsidR="00FF78A6" w:rsidRPr="00FF78A6" w:rsidRDefault="00FF78A6" w:rsidP="00FF78A6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FF78A6">
        <w:rPr>
          <w:rFonts w:eastAsia="Times New Roman" w:cs="Times New Roman"/>
          <w:sz w:val="24"/>
          <w:szCs w:val="24"/>
          <w:lang w:val="pt-PT" w:eastAsia="pt-PT"/>
        </w:rPr>
        <w:t>rajada de 3 s (fator de rajada, GF).</w:t>
      </w:r>
    </w:p>
    <w:p w14:paraId="6329C25B" w14:textId="77777777" w:rsidR="00FF78A6" w:rsidRPr="00FF78A6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pt-PT" w:eastAsia="pt-PT"/>
        </w:rPr>
      </w:pPr>
      <w:r w:rsidRPr="00FF78A6">
        <w:rPr>
          <w:rFonts w:ascii="Segoe UI Symbol" w:eastAsia="Times New Roman" w:hAnsi="Segoe UI Symbol" w:cs="Segoe UI Symbol"/>
          <w:sz w:val="24"/>
          <w:szCs w:val="24"/>
          <w:lang w:val="pt-PT" w:eastAsia="pt-PT"/>
        </w:rPr>
        <w:t>➡</w:t>
      </w:r>
      <w:r w:rsidRPr="00FF78A6">
        <w:rPr>
          <w:rFonts w:eastAsia="Times New Roman" w:cs="Times New Roman"/>
          <w:sz w:val="24"/>
          <w:szCs w:val="24"/>
          <w:lang w:val="pt-PT" w:eastAsia="pt-PT"/>
        </w:rPr>
        <w:t xml:space="preserve"> Modelagem climática </w:t>
      </w:r>
      <w:r w:rsidRPr="00FF78A6">
        <w:rPr>
          <w:rFonts w:eastAsia="Times New Roman" w:cs="Times New Roman"/>
          <w:b/>
          <w:bCs/>
          <w:sz w:val="24"/>
          <w:szCs w:val="24"/>
          <w:lang w:val="pt-PT" w:eastAsia="pt-PT"/>
        </w:rPr>
        <w:t>robusta e transparente</w:t>
      </w:r>
      <w:r w:rsidRPr="00FF78A6">
        <w:rPr>
          <w:rFonts w:eastAsia="Times New Roman" w:cs="Times New Roman"/>
          <w:sz w:val="24"/>
          <w:szCs w:val="24"/>
          <w:lang w:val="pt-PT" w:eastAsia="pt-PT"/>
        </w:rPr>
        <w:t>.</w:t>
      </w:r>
    </w:p>
    <w:p w14:paraId="5411FD6A" w14:textId="77777777" w:rsidR="00FF78A6" w:rsidRPr="00EC43BB" w:rsidRDefault="00FF78A6" w:rsidP="00FF78A6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5D2A61F3">
          <v:rect id="_x0000_i1029" style="width:0;height:1.5pt" o:hralign="center" o:hrstd="t" o:hr="t" fillcolor="#a0a0a0" stroked="f"/>
        </w:pict>
      </w:r>
    </w:p>
    <w:p w14:paraId="5133BBF9" w14:textId="77777777" w:rsidR="00FF78A6" w:rsidRPr="00FF78A6" w:rsidRDefault="00FF78A6" w:rsidP="00FF78A6">
      <w:pPr>
        <w:spacing w:before="100" w:beforeAutospacing="1" w:after="100" w:afterAutospacing="1"/>
        <w:outlineLvl w:val="3"/>
        <w:rPr>
          <w:rFonts w:eastAsia="Times New Roman" w:cs="Times New Roman"/>
          <w:b/>
          <w:bCs/>
          <w:sz w:val="24"/>
          <w:szCs w:val="24"/>
          <w:lang w:val="pt-PT" w:eastAsia="pt-PT"/>
        </w:rPr>
      </w:pPr>
      <w:r w:rsidRPr="00FF78A6">
        <w:rPr>
          <w:rFonts w:eastAsia="Times New Roman" w:cs="Times New Roman"/>
          <w:b/>
          <w:bCs/>
          <w:sz w:val="24"/>
          <w:szCs w:val="24"/>
          <w:lang w:val="pt-PT" w:eastAsia="pt-PT"/>
        </w:rPr>
        <w:t>2.4 Tratamento rigoroso das incertezas</w:t>
      </w:r>
    </w:p>
    <w:p w14:paraId="48BF31F2" w14:textId="77777777" w:rsidR="00FF78A6" w:rsidRPr="00FF78A6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pt-PT" w:eastAsia="pt-PT"/>
        </w:rPr>
      </w:pPr>
      <w:r w:rsidRPr="00FF78A6">
        <w:rPr>
          <w:rFonts w:eastAsia="Times New Roman" w:cs="Times New Roman"/>
          <w:sz w:val="24"/>
          <w:szCs w:val="24"/>
          <w:lang w:val="pt-PT" w:eastAsia="pt-PT"/>
        </w:rPr>
        <w:t>O artigo incorpora:</w:t>
      </w:r>
    </w:p>
    <w:p w14:paraId="69EBFFBB" w14:textId="77777777" w:rsidR="00FF78A6" w:rsidRPr="00FF78A6" w:rsidRDefault="00FF78A6" w:rsidP="00FF78A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FF78A6">
        <w:rPr>
          <w:rFonts w:eastAsia="Times New Roman" w:cs="Times New Roman"/>
          <w:b/>
          <w:bCs/>
          <w:sz w:val="24"/>
          <w:szCs w:val="24"/>
          <w:lang w:val="pt-PT" w:eastAsia="pt-PT"/>
        </w:rPr>
        <w:t>incerteza aleatória</w:t>
      </w:r>
      <w:r w:rsidRPr="00FF78A6">
        <w:rPr>
          <w:rFonts w:eastAsia="Times New Roman" w:cs="Times New Roman"/>
          <w:sz w:val="24"/>
          <w:szCs w:val="24"/>
          <w:lang w:val="pt-PT" w:eastAsia="pt-PT"/>
        </w:rPr>
        <w:t xml:space="preserve"> (via desvio logarítmico da distribuição);</w:t>
      </w:r>
    </w:p>
    <w:p w14:paraId="1DBE9B94" w14:textId="77777777" w:rsidR="00FF78A6" w:rsidRPr="00EC43BB" w:rsidRDefault="00FF78A6" w:rsidP="00FF78A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incerteza epistêmica</w:t>
      </w:r>
      <w:r w:rsidRPr="00EC43BB">
        <w:rPr>
          <w:rFonts w:eastAsia="Times New Roman" w:cs="Times New Roman"/>
          <w:sz w:val="24"/>
          <w:szCs w:val="24"/>
          <w:lang w:eastAsia="pt-PT"/>
        </w:rPr>
        <w:t>, incluindo:</w:t>
      </w:r>
    </w:p>
    <w:p w14:paraId="34632CCC" w14:textId="77777777" w:rsidR="00FF78A6" w:rsidRPr="00EC43BB" w:rsidRDefault="00FF78A6" w:rsidP="00FF78A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estimativa do vento local;</w:t>
      </w:r>
    </w:p>
    <w:p w14:paraId="5BBA5225" w14:textId="77777777" w:rsidR="00FF78A6" w:rsidRPr="00EC43BB" w:rsidRDefault="00FF78A6" w:rsidP="00FF78A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tamanho finito da amostra;</w:t>
      </w:r>
    </w:p>
    <w:p w14:paraId="15EE2C96" w14:textId="77777777" w:rsidR="00FF78A6" w:rsidRPr="00EC43BB" w:rsidRDefault="00FF78A6" w:rsidP="00FF78A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lastRenderedPageBreak/>
        <w:t>uso de:</w:t>
      </w:r>
    </w:p>
    <w:p w14:paraId="6D31337B" w14:textId="77777777" w:rsidR="00FF78A6" w:rsidRPr="00EC43BB" w:rsidRDefault="00FF78A6" w:rsidP="00FF78A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Monte Carlo</w:t>
      </w:r>
      <w:r w:rsidRPr="00EC43BB">
        <w:rPr>
          <w:rFonts w:eastAsia="Times New Roman" w:cs="Times New Roman"/>
          <w:sz w:val="24"/>
          <w:szCs w:val="24"/>
          <w:lang w:eastAsia="pt-PT"/>
        </w:rPr>
        <w:t>;</w:t>
      </w:r>
    </w:p>
    <w:p w14:paraId="1390F058" w14:textId="77777777" w:rsidR="00FF78A6" w:rsidRPr="00EC43BB" w:rsidRDefault="00FF78A6" w:rsidP="00FF78A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Latin Hypercube Sampling</w:t>
      </w:r>
      <w:r w:rsidRPr="00EC43BB">
        <w:rPr>
          <w:rFonts w:eastAsia="Times New Roman" w:cs="Times New Roman"/>
          <w:sz w:val="24"/>
          <w:szCs w:val="24"/>
          <w:lang w:eastAsia="pt-PT"/>
        </w:rPr>
        <w:t>;</w:t>
      </w:r>
    </w:p>
    <w:p w14:paraId="3A6120C8" w14:textId="77777777" w:rsidR="00FF78A6" w:rsidRPr="00EC43BB" w:rsidRDefault="00FF78A6" w:rsidP="00FF78A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bootstrapping</w:t>
      </w:r>
      <w:r w:rsidRPr="00EC43BB">
        <w:rPr>
          <w:rFonts w:eastAsia="Times New Roman" w:cs="Times New Roman"/>
          <w:sz w:val="24"/>
          <w:szCs w:val="24"/>
          <w:lang w:eastAsia="pt-PT"/>
        </w:rPr>
        <w:t>;</w:t>
      </w:r>
    </w:p>
    <w:p w14:paraId="3B337711" w14:textId="77777777" w:rsidR="00FF78A6" w:rsidRPr="00EC43BB" w:rsidRDefault="00FF78A6" w:rsidP="00FF78A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combinação explícita das incertezas.</w:t>
      </w:r>
    </w:p>
    <w:p w14:paraId="406B9BEC" w14:textId="77777777" w:rsidR="00FF78A6" w:rsidRPr="00EC43BB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Resultado-chave:</w:t>
      </w:r>
    </w:p>
    <w:p w14:paraId="7B4970EA" w14:textId="77777777" w:rsidR="00FF78A6" w:rsidRPr="00FF78A6" w:rsidRDefault="00FF78A6" w:rsidP="00FF78A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FF78A6">
        <w:rPr>
          <w:rFonts w:eastAsia="Times New Roman" w:cs="Times New Roman"/>
          <w:sz w:val="24"/>
          <w:szCs w:val="24"/>
          <w:lang w:val="pt-PT" w:eastAsia="pt-PT"/>
        </w:rPr>
        <w:t xml:space="preserve">a </w:t>
      </w:r>
      <w:r w:rsidRPr="00FF78A6">
        <w:rPr>
          <w:rFonts w:eastAsia="Times New Roman" w:cs="Times New Roman"/>
          <w:b/>
          <w:bCs/>
          <w:sz w:val="24"/>
          <w:szCs w:val="24"/>
          <w:lang w:val="pt-PT" w:eastAsia="pt-PT"/>
        </w:rPr>
        <w:t>incerteza dominante</w:t>
      </w:r>
      <w:r w:rsidRPr="00FF78A6">
        <w:rPr>
          <w:rFonts w:eastAsia="Times New Roman" w:cs="Times New Roman"/>
          <w:sz w:val="24"/>
          <w:szCs w:val="24"/>
          <w:lang w:val="pt-PT" w:eastAsia="pt-PT"/>
        </w:rPr>
        <w:t xml:space="preserve"> é a estimativa da velocidade do vento local.</w:t>
      </w:r>
    </w:p>
    <w:p w14:paraId="4B7DCC73" w14:textId="77777777" w:rsidR="00FF78A6" w:rsidRPr="00FF78A6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pt-PT" w:eastAsia="pt-PT"/>
        </w:rPr>
      </w:pPr>
      <w:r w:rsidRPr="00FF78A6">
        <w:rPr>
          <w:rFonts w:ascii="Segoe UI Symbol" w:eastAsia="Times New Roman" w:hAnsi="Segoe UI Symbol" w:cs="Segoe UI Symbol"/>
          <w:sz w:val="24"/>
          <w:szCs w:val="24"/>
          <w:lang w:val="pt-PT" w:eastAsia="pt-PT"/>
        </w:rPr>
        <w:t>➡</w:t>
      </w:r>
      <w:r w:rsidRPr="00FF78A6">
        <w:rPr>
          <w:rFonts w:eastAsia="Times New Roman" w:cs="Times New Roman"/>
          <w:sz w:val="24"/>
          <w:szCs w:val="24"/>
          <w:lang w:val="pt-PT" w:eastAsia="pt-PT"/>
        </w:rPr>
        <w:t xml:space="preserve"> Excelente alinhamento com boas práticas modernas de resiliência.</w:t>
      </w:r>
    </w:p>
    <w:p w14:paraId="341932F7" w14:textId="77777777" w:rsidR="00FF78A6" w:rsidRPr="00EC43BB" w:rsidRDefault="00FF78A6" w:rsidP="00FF78A6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3DFC9918">
          <v:rect id="_x0000_i1030" style="width:0;height:1.5pt" o:hralign="center" o:hrstd="t" o:hr="t" fillcolor="#a0a0a0" stroked="f"/>
        </w:pict>
      </w:r>
    </w:p>
    <w:p w14:paraId="45C509BE" w14:textId="77777777" w:rsidR="00FF78A6" w:rsidRPr="00FF78A6" w:rsidRDefault="00FF78A6" w:rsidP="00FF78A6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val="pt-PT" w:eastAsia="pt-PT"/>
        </w:rPr>
      </w:pPr>
      <w:r w:rsidRPr="00FF78A6">
        <w:rPr>
          <w:rFonts w:eastAsia="Times New Roman" w:cs="Times New Roman"/>
          <w:b/>
          <w:bCs/>
          <w:sz w:val="27"/>
          <w:szCs w:val="27"/>
          <w:lang w:val="pt-PT" w:eastAsia="pt-PT"/>
        </w:rPr>
        <w:t>3) Resultados técnicos relevantes</w:t>
      </w:r>
    </w:p>
    <w:p w14:paraId="331399F6" w14:textId="77777777" w:rsidR="00FF78A6" w:rsidRPr="00FF78A6" w:rsidRDefault="00FF78A6" w:rsidP="00FF78A6">
      <w:pPr>
        <w:spacing w:before="100" w:beforeAutospacing="1" w:after="100" w:afterAutospacing="1"/>
        <w:outlineLvl w:val="3"/>
        <w:rPr>
          <w:rFonts w:eastAsia="Times New Roman" w:cs="Times New Roman"/>
          <w:b/>
          <w:bCs/>
          <w:sz w:val="24"/>
          <w:szCs w:val="24"/>
          <w:lang w:val="pt-PT" w:eastAsia="pt-PT"/>
        </w:rPr>
      </w:pPr>
      <w:r w:rsidRPr="00FF78A6">
        <w:rPr>
          <w:rFonts w:eastAsia="Times New Roman" w:cs="Times New Roman"/>
          <w:b/>
          <w:bCs/>
          <w:sz w:val="24"/>
          <w:szCs w:val="24"/>
          <w:lang w:val="pt-PT" w:eastAsia="pt-PT"/>
        </w:rPr>
        <w:t>3.1 Curvas de fragilidade</w:t>
      </w:r>
    </w:p>
    <w:p w14:paraId="12064757" w14:textId="77777777" w:rsidR="00FF78A6" w:rsidRPr="00FF78A6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pt-PT" w:eastAsia="pt-PT"/>
        </w:rPr>
      </w:pPr>
      <w:r w:rsidRPr="00FF78A6">
        <w:rPr>
          <w:rFonts w:eastAsia="Times New Roman" w:cs="Times New Roman"/>
          <w:sz w:val="24"/>
          <w:szCs w:val="24"/>
          <w:lang w:val="pt-PT" w:eastAsia="pt-PT"/>
        </w:rPr>
        <w:t>As curvas obtidas (percentil 50%, incertezas combinadas):</w:t>
      </w:r>
    </w:p>
    <w:p w14:paraId="15EB8756" w14:textId="77777777" w:rsidR="00FF78A6" w:rsidRPr="00EC43BB" w:rsidRDefault="00FF78A6" w:rsidP="00FF78A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Colapso estrutural (CO)</w:t>
      </w:r>
    </w:p>
    <w:p w14:paraId="07B3A099" w14:textId="77777777" w:rsidR="00FF78A6" w:rsidRPr="00EC43BB" w:rsidRDefault="00FF78A6" w:rsidP="00FF78A6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 xml:space="preserve">mediana ≈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292,5 km/h</w:t>
      </w:r>
    </w:p>
    <w:p w14:paraId="1124C375" w14:textId="77777777" w:rsidR="00FF78A6" w:rsidRPr="00EC43BB" w:rsidRDefault="00FF78A6" w:rsidP="00FF78A6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 xml:space="preserve">β ≈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0,104</w:t>
      </w:r>
    </w:p>
    <w:p w14:paraId="4A6B29FB" w14:textId="77777777" w:rsidR="00FF78A6" w:rsidRPr="00EC43BB" w:rsidRDefault="00FF78A6" w:rsidP="00FF78A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Disrupção funcional (FD)</w:t>
      </w:r>
    </w:p>
    <w:p w14:paraId="0C367128" w14:textId="77777777" w:rsidR="00FF78A6" w:rsidRPr="00EC43BB" w:rsidRDefault="00FF78A6" w:rsidP="00FF78A6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 xml:space="preserve">mediana ≈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280,4 km/h</w:t>
      </w:r>
    </w:p>
    <w:p w14:paraId="1F9FBF62" w14:textId="77777777" w:rsidR="00FF78A6" w:rsidRPr="00EC43BB" w:rsidRDefault="00FF78A6" w:rsidP="00FF78A6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 xml:space="preserve">β ≈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0,088</w:t>
      </w:r>
    </w:p>
    <w:p w14:paraId="4E7DE0C0" w14:textId="77777777" w:rsidR="00FF78A6" w:rsidRPr="00FF78A6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pt-PT" w:eastAsia="pt-PT"/>
        </w:rPr>
      </w:pPr>
      <w:r w:rsidRPr="00FF78A6">
        <w:rPr>
          <w:rFonts w:ascii="Segoe UI Symbol" w:eastAsia="Times New Roman" w:hAnsi="Segoe UI Symbol" w:cs="Segoe UI Symbol"/>
          <w:sz w:val="24"/>
          <w:szCs w:val="24"/>
          <w:lang w:val="pt-PT" w:eastAsia="pt-PT"/>
        </w:rPr>
        <w:t>➡</w:t>
      </w:r>
      <w:r w:rsidRPr="00FF78A6">
        <w:rPr>
          <w:rFonts w:eastAsia="Times New Roman" w:cs="Times New Roman"/>
          <w:sz w:val="24"/>
          <w:szCs w:val="24"/>
          <w:lang w:val="pt-PT" w:eastAsia="pt-PT"/>
        </w:rPr>
        <w:t xml:space="preserve"> Resultados </w:t>
      </w:r>
      <w:r w:rsidRPr="00FF78A6">
        <w:rPr>
          <w:rFonts w:eastAsia="Times New Roman" w:cs="Times New Roman"/>
          <w:b/>
          <w:bCs/>
          <w:sz w:val="24"/>
          <w:szCs w:val="24"/>
          <w:lang w:val="pt-PT" w:eastAsia="pt-PT"/>
        </w:rPr>
        <w:t>fisicamente coerentes</w:t>
      </w:r>
      <w:r w:rsidRPr="00FF78A6">
        <w:rPr>
          <w:rFonts w:eastAsia="Times New Roman" w:cs="Times New Roman"/>
          <w:sz w:val="24"/>
          <w:szCs w:val="24"/>
          <w:lang w:val="pt-PT" w:eastAsia="pt-PT"/>
        </w:rPr>
        <w:t xml:space="preserve"> e comparáveis à literatura internacional.</w:t>
      </w:r>
    </w:p>
    <w:p w14:paraId="4E2410E6" w14:textId="77777777" w:rsidR="00FF78A6" w:rsidRPr="00EC43BB" w:rsidRDefault="00FF78A6" w:rsidP="00FF78A6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1E8A0430">
          <v:rect id="_x0000_i1031" style="width:0;height:1.5pt" o:hralign="center" o:hrstd="t" o:hr="t" fillcolor="#a0a0a0" stroked="f"/>
        </w:pict>
      </w:r>
    </w:p>
    <w:p w14:paraId="58A917A7" w14:textId="77777777" w:rsidR="00FF78A6" w:rsidRPr="00FF78A6" w:rsidRDefault="00FF78A6" w:rsidP="00FF78A6">
      <w:pPr>
        <w:spacing w:before="100" w:beforeAutospacing="1" w:after="100" w:afterAutospacing="1"/>
        <w:outlineLvl w:val="3"/>
        <w:rPr>
          <w:rFonts w:eastAsia="Times New Roman" w:cs="Times New Roman"/>
          <w:b/>
          <w:bCs/>
          <w:sz w:val="24"/>
          <w:szCs w:val="24"/>
          <w:lang w:val="pt-PT" w:eastAsia="pt-PT"/>
        </w:rPr>
      </w:pPr>
      <w:r w:rsidRPr="00FF78A6">
        <w:rPr>
          <w:rFonts w:eastAsia="Times New Roman" w:cs="Times New Roman"/>
          <w:b/>
          <w:bCs/>
          <w:sz w:val="24"/>
          <w:szCs w:val="24"/>
          <w:lang w:val="pt-PT" w:eastAsia="pt-PT"/>
        </w:rPr>
        <w:t>3.2 Comparação internacional</w:t>
      </w:r>
    </w:p>
    <w:p w14:paraId="69FD422C" w14:textId="77777777" w:rsidR="00FF78A6" w:rsidRPr="00FF78A6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pt-PT" w:eastAsia="pt-PT"/>
        </w:rPr>
      </w:pPr>
      <w:r w:rsidRPr="00FF78A6">
        <w:rPr>
          <w:rFonts w:eastAsia="Times New Roman" w:cs="Times New Roman"/>
          <w:sz w:val="24"/>
          <w:szCs w:val="24"/>
          <w:lang w:val="pt-PT" w:eastAsia="pt-PT"/>
        </w:rPr>
        <w:t>O artigo compara seus resultados com:</w:t>
      </w:r>
    </w:p>
    <w:p w14:paraId="33E09064" w14:textId="77777777" w:rsidR="00FF78A6" w:rsidRPr="00EC43BB" w:rsidRDefault="00FF78A6" w:rsidP="00FF78A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Quanta Technology (EUA);</w:t>
      </w:r>
    </w:p>
    <w:p w14:paraId="49101037" w14:textId="77777777" w:rsidR="00FF78A6" w:rsidRPr="00EC43BB" w:rsidRDefault="00FF78A6" w:rsidP="00FF78A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Panteli et al. (Reino Unido);</w:t>
      </w:r>
    </w:p>
    <w:p w14:paraId="084AD730" w14:textId="77777777" w:rsidR="00FF78A6" w:rsidRPr="00EC43BB" w:rsidRDefault="00FF78A6" w:rsidP="00FF78A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Fu et al. (China).</w:t>
      </w:r>
    </w:p>
    <w:p w14:paraId="3A2E11AC" w14:textId="77777777" w:rsidR="00FF78A6" w:rsidRPr="00EC43BB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Conclusão:</w:t>
      </w:r>
    </w:p>
    <w:p w14:paraId="1468C708" w14:textId="77777777" w:rsidR="00FF78A6" w:rsidRPr="00EC43BB" w:rsidRDefault="00FF78A6" w:rsidP="00FF78A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 xml:space="preserve">curvas de Odisha são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compatíveis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, mas refletem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exposição a ventos mais severos</w:t>
      </w:r>
      <w:r w:rsidRPr="00EC43BB">
        <w:rPr>
          <w:rFonts w:eastAsia="Times New Roman" w:cs="Times New Roman"/>
          <w:sz w:val="24"/>
          <w:szCs w:val="24"/>
          <w:lang w:eastAsia="pt-PT"/>
        </w:rPr>
        <w:t>.</w:t>
      </w:r>
    </w:p>
    <w:p w14:paraId="12A845B1" w14:textId="77777777" w:rsidR="00FF78A6" w:rsidRPr="00EC43BB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ascii="Segoe UI Symbol" w:eastAsia="Times New Roman" w:hAnsi="Segoe UI Symbol" w:cs="Segoe UI Symbol"/>
          <w:sz w:val="24"/>
          <w:szCs w:val="24"/>
          <w:lang w:eastAsia="pt-PT"/>
        </w:rPr>
        <w:t>➡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Fortalece a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validade externa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do estudo.</w:t>
      </w:r>
    </w:p>
    <w:p w14:paraId="5C864B3A" w14:textId="77777777" w:rsidR="00FF78A6" w:rsidRPr="00EC43BB" w:rsidRDefault="00FF78A6" w:rsidP="00FF78A6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lastRenderedPageBreak/>
        <w:pict w14:anchorId="2FCF7071">
          <v:rect id="_x0000_i1032" style="width:0;height:1.5pt" o:hralign="center" o:hrstd="t" o:hr="t" fillcolor="#a0a0a0" stroked="f"/>
        </w:pict>
      </w:r>
    </w:p>
    <w:p w14:paraId="2700C531" w14:textId="77777777" w:rsidR="00FF78A6" w:rsidRPr="00EC43BB" w:rsidRDefault="00FF78A6" w:rsidP="00FF78A6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pt-PT"/>
        </w:rPr>
      </w:pPr>
      <w:r w:rsidRPr="00EC43BB">
        <w:rPr>
          <w:rFonts w:eastAsia="Times New Roman" w:cs="Times New Roman"/>
          <w:b/>
          <w:bCs/>
          <w:sz w:val="27"/>
          <w:szCs w:val="27"/>
          <w:lang w:eastAsia="pt-PT"/>
        </w:rPr>
        <w:t>4) Limitações (explicitadas corretamente pelos autores)</w:t>
      </w:r>
    </w:p>
    <w:p w14:paraId="6399A976" w14:textId="77777777" w:rsidR="00FF78A6" w:rsidRPr="00EC43BB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ascii="Segoe UI Emoji" w:eastAsia="Times New Roman" w:hAnsi="Segoe UI Emoji" w:cs="Segoe UI Emoji"/>
          <w:sz w:val="24"/>
          <w:szCs w:val="24"/>
          <w:lang w:eastAsia="pt-PT"/>
        </w:rPr>
        <w:t>⚠️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Limitações objetivas:</w:t>
      </w:r>
    </w:p>
    <w:p w14:paraId="19070AB5" w14:textId="77777777" w:rsidR="00FF78A6" w:rsidRPr="00EC43BB" w:rsidRDefault="00FF78A6" w:rsidP="00FF78A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Evento único</w:t>
      </w:r>
    </w:p>
    <w:p w14:paraId="3E327861" w14:textId="77777777" w:rsidR="00FF78A6" w:rsidRPr="00EC43BB" w:rsidRDefault="00FF78A6" w:rsidP="00FF78A6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curvas baseadas em um único ciclone;</w:t>
      </w:r>
    </w:p>
    <w:p w14:paraId="3140E4AD" w14:textId="77777777" w:rsidR="00FF78A6" w:rsidRPr="00EC43BB" w:rsidRDefault="00FF78A6" w:rsidP="00FF78A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Ausência de propriedades estruturais detalhadas</w:t>
      </w:r>
    </w:p>
    <w:p w14:paraId="2191869C" w14:textId="77777777" w:rsidR="00FF78A6" w:rsidRPr="00EC43BB" w:rsidRDefault="00FF78A6" w:rsidP="00FF78A6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material, ligações, fundações não disponíveis;</w:t>
      </w:r>
    </w:p>
    <w:p w14:paraId="66E5C644" w14:textId="77777777" w:rsidR="00FF78A6" w:rsidRPr="00EC43BB" w:rsidRDefault="00FF78A6" w:rsidP="00FF78A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Contexto regional</w:t>
      </w:r>
    </w:p>
    <w:p w14:paraId="17F4165E" w14:textId="77777777" w:rsidR="00FF78A6" w:rsidRPr="00EC43BB" w:rsidRDefault="00FF78A6" w:rsidP="00FF78A6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curvas específicas para Odisha (como deve ser).</w:t>
      </w:r>
    </w:p>
    <w:p w14:paraId="0A0ACAB3" w14:textId="77777777" w:rsidR="00FF78A6" w:rsidRPr="00EC43BB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ascii="Segoe UI Symbol" w:eastAsia="Times New Roman" w:hAnsi="Segoe UI Symbol" w:cs="Segoe UI Symbol"/>
          <w:sz w:val="24"/>
          <w:szCs w:val="24"/>
          <w:lang w:eastAsia="pt-PT"/>
        </w:rPr>
        <w:t>➡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Limitações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aceitáveis e honestamente discutidas</w:t>
      </w:r>
      <w:r w:rsidRPr="00EC43BB">
        <w:rPr>
          <w:rFonts w:eastAsia="Times New Roman" w:cs="Times New Roman"/>
          <w:sz w:val="24"/>
          <w:szCs w:val="24"/>
          <w:lang w:eastAsia="pt-PT"/>
        </w:rPr>
        <w:t>.</w:t>
      </w:r>
    </w:p>
    <w:p w14:paraId="5B0EF17E" w14:textId="77777777" w:rsidR="00FF78A6" w:rsidRPr="00EC43BB" w:rsidRDefault="00FF78A6" w:rsidP="00FF78A6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44197212">
          <v:rect id="_x0000_i1033" style="width:0;height:1.5pt" o:hralign="center" o:hrstd="t" o:hr="t" fillcolor="#a0a0a0" stroked="f"/>
        </w:pict>
      </w:r>
    </w:p>
    <w:p w14:paraId="67535F04" w14:textId="77777777" w:rsidR="00FF78A6" w:rsidRPr="00EC43BB" w:rsidRDefault="00FF78A6" w:rsidP="00FF78A6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pt-PT"/>
        </w:rPr>
      </w:pPr>
      <w:r w:rsidRPr="00EC43BB">
        <w:rPr>
          <w:rFonts w:eastAsia="Times New Roman" w:cs="Times New Roman"/>
          <w:b/>
          <w:bCs/>
          <w:sz w:val="27"/>
          <w:szCs w:val="27"/>
          <w:lang w:eastAsia="pt-PT"/>
        </w:rPr>
        <w:t>5) Aderência ao tema da tese</w:t>
      </w:r>
    </w:p>
    <w:p w14:paraId="0470FA0B" w14:textId="77777777" w:rsidR="00FF78A6" w:rsidRPr="00EC43BB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Tema: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Resiliência das Linhas de Transmissão frente a eventos extremos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47"/>
        <w:gridCol w:w="1358"/>
      </w:tblGrid>
      <w:tr w:rsidR="00FF78A6" w:rsidRPr="00EC43BB" w14:paraId="55854D47" w14:textId="77777777" w:rsidTr="008041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352673" w14:textId="77777777" w:rsidR="00FF78A6" w:rsidRPr="00EC43BB" w:rsidRDefault="00FF78A6" w:rsidP="008041AE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pt-PT"/>
              </w:rPr>
            </w:pPr>
            <w:r w:rsidRPr="00EC43BB">
              <w:rPr>
                <w:rFonts w:eastAsia="Times New Roman" w:cs="Times New Roman"/>
                <w:b/>
                <w:bCs/>
                <w:sz w:val="24"/>
                <w:szCs w:val="24"/>
                <w:lang w:eastAsia="pt-PT"/>
              </w:rPr>
              <w:t>Critério</w:t>
            </w:r>
          </w:p>
        </w:tc>
        <w:tc>
          <w:tcPr>
            <w:tcW w:w="0" w:type="auto"/>
            <w:vAlign w:val="center"/>
            <w:hideMark/>
          </w:tcPr>
          <w:p w14:paraId="7B10FB4A" w14:textId="77777777" w:rsidR="00FF78A6" w:rsidRPr="00EC43BB" w:rsidRDefault="00FF78A6" w:rsidP="008041AE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pt-PT"/>
              </w:rPr>
            </w:pPr>
            <w:r w:rsidRPr="00EC43BB">
              <w:rPr>
                <w:rFonts w:eastAsia="Times New Roman" w:cs="Times New Roman"/>
                <w:b/>
                <w:bCs/>
                <w:sz w:val="24"/>
                <w:szCs w:val="24"/>
                <w:lang w:eastAsia="pt-PT"/>
              </w:rPr>
              <w:t>Avaliação</w:t>
            </w:r>
          </w:p>
        </w:tc>
      </w:tr>
      <w:tr w:rsidR="00FF78A6" w:rsidRPr="00EC43BB" w14:paraId="178F478A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27F52" w14:textId="77777777" w:rsidR="00FF78A6" w:rsidRPr="00EC43BB" w:rsidRDefault="00FF78A6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EC43BB">
              <w:rPr>
                <w:rFonts w:eastAsia="Times New Roman" w:cs="Times New Roman"/>
                <w:sz w:val="24"/>
                <w:szCs w:val="24"/>
                <w:lang w:eastAsia="pt-PT"/>
              </w:rPr>
              <w:t>Eventos climáticos extremos (vento/ciclone)</w:t>
            </w:r>
          </w:p>
        </w:tc>
        <w:tc>
          <w:tcPr>
            <w:tcW w:w="0" w:type="auto"/>
            <w:vAlign w:val="center"/>
            <w:hideMark/>
          </w:tcPr>
          <w:p w14:paraId="730B6785" w14:textId="77777777" w:rsidR="00FF78A6" w:rsidRPr="00EC43BB" w:rsidRDefault="00FF78A6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EC43BB">
              <w:rPr>
                <w:rFonts w:ascii="Segoe UI Emoji" w:eastAsia="Times New Roman" w:hAnsi="Segoe UI Emoji" w:cs="Segoe UI Emoji"/>
                <w:sz w:val="24"/>
                <w:szCs w:val="24"/>
                <w:lang w:eastAsia="pt-PT"/>
              </w:rPr>
              <w:t>✅</w:t>
            </w:r>
          </w:p>
        </w:tc>
      </w:tr>
      <w:tr w:rsidR="00FF78A6" w:rsidRPr="00EC43BB" w14:paraId="25441C94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83419" w14:textId="77777777" w:rsidR="00FF78A6" w:rsidRPr="00EC43BB" w:rsidRDefault="00FF78A6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EC43BB">
              <w:rPr>
                <w:rFonts w:eastAsia="Times New Roman" w:cs="Times New Roman"/>
                <w:sz w:val="24"/>
                <w:szCs w:val="24"/>
                <w:lang w:eastAsia="pt-PT"/>
              </w:rPr>
              <w:t>Falha física de torres de LT</w:t>
            </w:r>
          </w:p>
        </w:tc>
        <w:tc>
          <w:tcPr>
            <w:tcW w:w="0" w:type="auto"/>
            <w:vAlign w:val="center"/>
            <w:hideMark/>
          </w:tcPr>
          <w:p w14:paraId="2BB3A16A" w14:textId="77777777" w:rsidR="00FF78A6" w:rsidRPr="00EC43BB" w:rsidRDefault="00FF78A6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EC43BB">
              <w:rPr>
                <w:rFonts w:ascii="Segoe UI Emoji" w:eastAsia="Times New Roman" w:hAnsi="Segoe UI Emoji" w:cs="Segoe UI Emoji"/>
                <w:sz w:val="24"/>
                <w:szCs w:val="24"/>
                <w:lang w:eastAsia="pt-PT"/>
              </w:rPr>
              <w:t>✅</w:t>
            </w:r>
          </w:p>
        </w:tc>
      </w:tr>
      <w:tr w:rsidR="00FF78A6" w:rsidRPr="00EC43BB" w14:paraId="5B32947A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90EAA" w14:textId="77777777" w:rsidR="00FF78A6" w:rsidRPr="00EC43BB" w:rsidRDefault="00FF78A6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EC43BB">
              <w:rPr>
                <w:rFonts w:eastAsia="Times New Roman" w:cs="Times New Roman"/>
                <w:sz w:val="24"/>
                <w:szCs w:val="24"/>
                <w:lang w:eastAsia="pt-PT"/>
              </w:rPr>
              <w:t>Fragilidade estrutural empírica</w:t>
            </w:r>
          </w:p>
        </w:tc>
        <w:tc>
          <w:tcPr>
            <w:tcW w:w="0" w:type="auto"/>
            <w:vAlign w:val="center"/>
            <w:hideMark/>
          </w:tcPr>
          <w:p w14:paraId="138472BE" w14:textId="77777777" w:rsidR="00FF78A6" w:rsidRPr="00EC43BB" w:rsidRDefault="00FF78A6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EC43BB">
              <w:rPr>
                <w:rFonts w:ascii="Segoe UI Emoji" w:eastAsia="Times New Roman" w:hAnsi="Segoe UI Emoji" w:cs="Segoe UI Emoji"/>
                <w:sz w:val="24"/>
                <w:szCs w:val="24"/>
                <w:lang w:eastAsia="pt-PT"/>
              </w:rPr>
              <w:t>✅</w:t>
            </w:r>
          </w:p>
        </w:tc>
      </w:tr>
      <w:tr w:rsidR="00FF78A6" w:rsidRPr="00EC43BB" w14:paraId="5631B6A0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E1AA" w14:textId="77777777" w:rsidR="00FF78A6" w:rsidRPr="00EC43BB" w:rsidRDefault="00FF78A6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EC43BB">
              <w:rPr>
                <w:rFonts w:eastAsia="Times New Roman" w:cs="Times New Roman"/>
                <w:sz w:val="24"/>
                <w:szCs w:val="24"/>
                <w:lang w:eastAsia="pt-PT"/>
              </w:rPr>
              <w:t>Curvas de fragilidade</w:t>
            </w:r>
          </w:p>
        </w:tc>
        <w:tc>
          <w:tcPr>
            <w:tcW w:w="0" w:type="auto"/>
            <w:vAlign w:val="center"/>
            <w:hideMark/>
          </w:tcPr>
          <w:p w14:paraId="71BC0C53" w14:textId="77777777" w:rsidR="00FF78A6" w:rsidRPr="00EC43BB" w:rsidRDefault="00FF78A6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EC43BB">
              <w:rPr>
                <w:rFonts w:ascii="Segoe UI Emoji" w:eastAsia="Times New Roman" w:hAnsi="Segoe UI Emoji" w:cs="Segoe UI Emoji"/>
                <w:sz w:val="24"/>
                <w:szCs w:val="24"/>
                <w:lang w:eastAsia="pt-PT"/>
              </w:rPr>
              <w:t>✅</w:t>
            </w:r>
          </w:p>
        </w:tc>
      </w:tr>
      <w:tr w:rsidR="00FF78A6" w:rsidRPr="00EC43BB" w14:paraId="51A1E077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7F64F" w14:textId="77777777" w:rsidR="00FF78A6" w:rsidRPr="00EC43BB" w:rsidRDefault="00FF78A6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EC43BB">
              <w:rPr>
                <w:rFonts w:eastAsia="Times New Roman" w:cs="Times New Roman"/>
                <w:sz w:val="24"/>
                <w:szCs w:val="24"/>
                <w:lang w:eastAsia="pt-PT"/>
              </w:rPr>
              <w:t>Dados reais pós-evento</w:t>
            </w:r>
          </w:p>
        </w:tc>
        <w:tc>
          <w:tcPr>
            <w:tcW w:w="0" w:type="auto"/>
            <w:vAlign w:val="center"/>
            <w:hideMark/>
          </w:tcPr>
          <w:p w14:paraId="19F11AE7" w14:textId="77777777" w:rsidR="00FF78A6" w:rsidRPr="00EC43BB" w:rsidRDefault="00FF78A6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EC43BB">
              <w:rPr>
                <w:rFonts w:ascii="Segoe UI Emoji" w:eastAsia="Times New Roman" w:hAnsi="Segoe UI Emoji" w:cs="Segoe UI Emoji"/>
                <w:sz w:val="24"/>
                <w:szCs w:val="24"/>
                <w:lang w:eastAsia="pt-PT"/>
              </w:rPr>
              <w:t>✅</w:t>
            </w:r>
          </w:p>
        </w:tc>
      </w:tr>
      <w:tr w:rsidR="00FF78A6" w:rsidRPr="00EC43BB" w14:paraId="16E58340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D192F" w14:textId="77777777" w:rsidR="00FF78A6" w:rsidRPr="00EC43BB" w:rsidRDefault="00FF78A6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EC43BB">
              <w:rPr>
                <w:rFonts w:eastAsia="Times New Roman" w:cs="Times New Roman"/>
                <w:sz w:val="24"/>
                <w:szCs w:val="24"/>
                <w:lang w:eastAsia="pt-PT"/>
              </w:rPr>
              <w:t>Incertezas explícitas</w:t>
            </w:r>
          </w:p>
        </w:tc>
        <w:tc>
          <w:tcPr>
            <w:tcW w:w="0" w:type="auto"/>
            <w:vAlign w:val="center"/>
            <w:hideMark/>
          </w:tcPr>
          <w:p w14:paraId="3F2C05C1" w14:textId="77777777" w:rsidR="00FF78A6" w:rsidRPr="00EC43BB" w:rsidRDefault="00FF78A6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EC43BB">
              <w:rPr>
                <w:rFonts w:ascii="Segoe UI Emoji" w:eastAsia="Times New Roman" w:hAnsi="Segoe UI Emoji" w:cs="Segoe UI Emoji"/>
                <w:sz w:val="24"/>
                <w:szCs w:val="24"/>
                <w:lang w:eastAsia="pt-PT"/>
              </w:rPr>
              <w:t>✅</w:t>
            </w:r>
          </w:p>
        </w:tc>
      </w:tr>
      <w:tr w:rsidR="00FF78A6" w:rsidRPr="00EC43BB" w14:paraId="1E4D6931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8E252" w14:textId="77777777" w:rsidR="00FF78A6" w:rsidRPr="00EC43BB" w:rsidRDefault="00FF78A6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EC43BB">
              <w:rPr>
                <w:rFonts w:eastAsia="Times New Roman" w:cs="Times New Roman"/>
                <w:sz w:val="24"/>
                <w:szCs w:val="24"/>
                <w:lang w:eastAsia="pt-PT"/>
              </w:rPr>
              <w:t>Recuperação temporal</w:t>
            </w:r>
          </w:p>
        </w:tc>
        <w:tc>
          <w:tcPr>
            <w:tcW w:w="0" w:type="auto"/>
            <w:vAlign w:val="center"/>
            <w:hideMark/>
          </w:tcPr>
          <w:p w14:paraId="6A3F6D35" w14:textId="77777777" w:rsidR="00FF78A6" w:rsidRPr="00EC43BB" w:rsidRDefault="00FF78A6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EC43BB">
              <w:rPr>
                <w:rFonts w:ascii="Segoe UI Emoji" w:eastAsia="Times New Roman" w:hAnsi="Segoe UI Emoji" w:cs="Segoe UI Emoji"/>
                <w:sz w:val="24"/>
                <w:szCs w:val="24"/>
                <w:lang w:eastAsia="pt-PT"/>
              </w:rPr>
              <w:t>⚠️</w:t>
            </w:r>
            <w:r w:rsidRPr="00EC43BB">
              <w:rPr>
                <w:rFonts w:eastAsia="Times New Roman" w:cs="Times New Roman"/>
                <w:sz w:val="24"/>
                <w:szCs w:val="24"/>
                <w:lang w:eastAsia="pt-PT"/>
              </w:rPr>
              <w:t xml:space="preserve"> (indireta)</w:t>
            </w:r>
          </w:p>
        </w:tc>
      </w:tr>
    </w:tbl>
    <w:p w14:paraId="1AC93599" w14:textId="77777777" w:rsidR="00FF78A6" w:rsidRPr="00EC43BB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ascii="Segoe UI Symbol" w:eastAsia="Times New Roman" w:hAnsi="Segoe UI Symbol" w:cs="Segoe UI Symbol"/>
          <w:sz w:val="24"/>
          <w:szCs w:val="24"/>
          <w:lang w:eastAsia="pt-PT"/>
        </w:rPr>
        <w:t>➡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Aderência direta: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altíssima</w:t>
      </w:r>
      <w:r w:rsidRPr="00EC43BB">
        <w:rPr>
          <w:rFonts w:eastAsia="Times New Roman" w:cs="Times New Roman"/>
          <w:sz w:val="24"/>
          <w:szCs w:val="24"/>
          <w:lang w:eastAsia="pt-PT"/>
        </w:rPr>
        <w:br/>
      </w:r>
      <w:r w:rsidRPr="00EC43BB">
        <w:rPr>
          <w:rFonts w:ascii="Segoe UI Symbol" w:eastAsia="Times New Roman" w:hAnsi="Segoe UI Symbol" w:cs="Segoe UI Symbol"/>
          <w:sz w:val="24"/>
          <w:szCs w:val="24"/>
          <w:lang w:eastAsia="pt-PT"/>
        </w:rPr>
        <w:t>➡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Aderência estrutural-climática: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altíssima</w:t>
      </w:r>
    </w:p>
    <w:p w14:paraId="3419FC49" w14:textId="77777777" w:rsidR="00FF78A6" w:rsidRPr="00EC43BB" w:rsidRDefault="00FF78A6" w:rsidP="00FF78A6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1F3A0045">
          <v:rect id="_x0000_i1034" style="width:0;height:1.5pt" o:hralign="center" o:hrstd="t" o:hr="t" fillcolor="#a0a0a0" stroked="f"/>
        </w:pict>
      </w:r>
    </w:p>
    <w:p w14:paraId="63F03DDB" w14:textId="77777777" w:rsidR="00FF78A6" w:rsidRPr="00EC43BB" w:rsidRDefault="00FF78A6" w:rsidP="00FF78A6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pt-PT"/>
        </w:rPr>
      </w:pPr>
      <w:r w:rsidRPr="00EC43BB">
        <w:rPr>
          <w:rFonts w:eastAsia="Times New Roman" w:cs="Times New Roman"/>
          <w:b/>
          <w:bCs/>
          <w:sz w:val="27"/>
          <w:szCs w:val="27"/>
          <w:lang w:eastAsia="pt-PT"/>
        </w:rPr>
        <w:t>6) Utilidade real para a sua tese</w:t>
      </w:r>
    </w:p>
    <w:p w14:paraId="1281E363" w14:textId="77777777" w:rsidR="00FF78A6" w:rsidRPr="00EC43BB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 xml:space="preserve">Este artigo é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central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para:</w:t>
      </w:r>
    </w:p>
    <w:p w14:paraId="1BFD04DD" w14:textId="77777777" w:rsidR="00FF78A6" w:rsidRPr="00EC43BB" w:rsidRDefault="00FF78A6" w:rsidP="00FF78A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lastRenderedPageBreak/>
        <w:t xml:space="preserve">fundamentar a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modelagem de fragilidade das LT</w:t>
      </w:r>
      <w:r w:rsidRPr="00EC43BB">
        <w:rPr>
          <w:rFonts w:eastAsia="Times New Roman" w:cs="Times New Roman"/>
          <w:sz w:val="24"/>
          <w:szCs w:val="24"/>
          <w:lang w:eastAsia="pt-PT"/>
        </w:rPr>
        <w:t>;</w:t>
      </w:r>
    </w:p>
    <w:p w14:paraId="54B05917" w14:textId="77777777" w:rsidR="00FF78A6" w:rsidRPr="00EC43BB" w:rsidRDefault="00FF78A6" w:rsidP="00FF78A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justificar o uso de:</w:t>
      </w:r>
    </w:p>
    <w:p w14:paraId="0C56BA26" w14:textId="77777777" w:rsidR="00FF78A6" w:rsidRPr="00EC43BB" w:rsidRDefault="00FF78A6" w:rsidP="00FF78A6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curvas empíricas;</w:t>
      </w:r>
    </w:p>
    <w:p w14:paraId="763001C4" w14:textId="77777777" w:rsidR="00FF78A6" w:rsidRPr="00EC43BB" w:rsidRDefault="00FF78A6" w:rsidP="00FF78A6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abordagem probabilística;</w:t>
      </w:r>
    </w:p>
    <w:p w14:paraId="2AC0C4B9" w14:textId="77777777" w:rsidR="00FF78A6" w:rsidRPr="00EC43BB" w:rsidRDefault="00FF78A6" w:rsidP="00FF78A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calibrar ou validar:</w:t>
      </w:r>
    </w:p>
    <w:p w14:paraId="4047C540" w14:textId="77777777" w:rsidR="00FF78A6" w:rsidRPr="00EC43BB" w:rsidRDefault="00FF78A6" w:rsidP="00FF78A6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parâmetros de vento crítico;</w:t>
      </w:r>
    </w:p>
    <w:p w14:paraId="1C66EC23" w14:textId="77777777" w:rsidR="00FF78A6" w:rsidRPr="00EC43BB" w:rsidRDefault="00FF78A6" w:rsidP="00FF78A6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estados de dano;</w:t>
      </w:r>
    </w:p>
    <w:p w14:paraId="337DC3EC" w14:textId="77777777" w:rsidR="00FF78A6" w:rsidRPr="00EC43BB" w:rsidRDefault="00FF78A6" w:rsidP="00FF78A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 xml:space="preserve">apoiar a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ligação entre fragilidade e resiliência</w:t>
      </w:r>
      <w:r w:rsidRPr="00EC43BB">
        <w:rPr>
          <w:rFonts w:eastAsia="Times New Roman" w:cs="Times New Roman"/>
          <w:sz w:val="24"/>
          <w:szCs w:val="24"/>
          <w:lang w:eastAsia="pt-PT"/>
        </w:rPr>
        <w:t>.</w:t>
      </w:r>
    </w:p>
    <w:p w14:paraId="7AD1F9F7" w14:textId="77777777" w:rsidR="00FF78A6" w:rsidRPr="00EC43BB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Pode ser usado diretamente em:</w:t>
      </w:r>
    </w:p>
    <w:p w14:paraId="646F72A3" w14:textId="77777777" w:rsidR="00FF78A6" w:rsidRPr="00EC43BB" w:rsidRDefault="00FF78A6" w:rsidP="00FF78A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revisão da literatura;</w:t>
      </w:r>
    </w:p>
    <w:p w14:paraId="228DC570" w14:textId="77777777" w:rsidR="00FF78A6" w:rsidRPr="00EC43BB" w:rsidRDefault="00FF78A6" w:rsidP="00FF78A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metodologia;</w:t>
      </w:r>
    </w:p>
    <w:p w14:paraId="33DC1495" w14:textId="77777777" w:rsidR="00FF78A6" w:rsidRPr="00EC43BB" w:rsidRDefault="00FF78A6" w:rsidP="00FF78A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discussão de resultados;</w:t>
      </w:r>
    </w:p>
    <w:p w14:paraId="1D0E6921" w14:textId="77777777" w:rsidR="00FF78A6" w:rsidRPr="00EC43BB" w:rsidRDefault="00FF78A6" w:rsidP="00FF78A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comparação internacional.</w:t>
      </w:r>
    </w:p>
    <w:p w14:paraId="4CE3D807" w14:textId="77777777" w:rsidR="00FF78A6" w:rsidRPr="00EC43BB" w:rsidRDefault="00FF78A6" w:rsidP="00FF78A6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0F2927D8">
          <v:rect id="_x0000_i1035" style="width:0;height:1.5pt" o:hralign="center" o:hrstd="t" o:hr="t" fillcolor="#a0a0a0" stroked="f"/>
        </w:pict>
      </w:r>
    </w:p>
    <w:p w14:paraId="5BE3517E" w14:textId="77777777" w:rsidR="00FF78A6" w:rsidRPr="00EC43BB" w:rsidRDefault="00FF78A6" w:rsidP="00FF78A6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pt-PT"/>
        </w:rPr>
      </w:pPr>
      <w:r w:rsidRPr="00EC43BB">
        <w:rPr>
          <w:rFonts w:eastAsia="Times New Roman" w:cs="Times New Roman"/>
          <w:b/>
          <w:bCs/>
          <w:sz w:val="27"/>
          <w:szCs w:val="27"/>
          <w:lang w:eastAsia="pt-PT"/>
        </w:rPr>
        <w:t>7) Decisão final</w:t>
      </w:r>
    </w:p>
    <w:p w14:paraId="3ABA3D85" w14:textId="77777777" w:rsidR="00FF78A6" w:rsidRPr="00EC43BB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ascii="Segoe UI Emoji" w:eastAsia="Times New Roman" w:hAnsi="Segoe UI Emoji" w:cs="Segoe UI Emoji"/>
          <w:sz w:val="24"/>
          <w:szCs w:val="24"/>
          <w:lang w:eastAsia="pt-PT"/>
        </w:rPr>
        <w:t>✅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DECISÃO: GUARDAR</w:t>
      </w:r>
    </w:p>
    <w:p w14:paraId="15D6DCA1" w14:textId="77777777" w:rsidR="00FF78A6" w:rsidRPr="00EC43BB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Justificativa técnica:</w:t>
      </w:r>
      <w:r w:rsidRPr="00EC43BB">
        <w:rPr>
          <w:rFonts w:eastAsia="Times New Roman" w:cs="Times New Roman"/>
          <w:sz w:val="24"/>
          <w:szCs w:val="24"/>
          <w:lang w:eastAsia="pt-PT"/>
        </w:rPr>
        <w:br/>
        <w:t>O artigo:</w:t>
      </w:r>
    </w:p>
    <w:p w14:paraId="6EDAC0A3" w14:textId="77777777" w:rsidR="00FF78A6" w:rsidRPr="00EC43BB" w:rsidRDefault="00FF78A6" w:rsidP="00FF78A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 xml:space="preserve">trata diretamente de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linhas de transmissão</w:t>
      </w:r>
      <w:r w:rsidRPr="00EC43BB">
        <w:rPr>
          <w:rFonts w:eastAsia="Times New Roman" w:cs="Times New Roman"/>
          <w:sz w:val="24"/>
          <w:szCs w:val="24"/>
          <w:lang w:eastAsia="pt-PT"/>
        </w:rPr>
        <w:t>;</w:t>
      </w:r>
    </w:p>
    <w:p w14:paraId="591D173D" w14:textId="77777777" w:rsidR="00FF78A6" w:rsidRPr="00EC43BB" w:rsidRDefault="00FF78A6" w:rsidP="00FF78A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 xml:space="preserve">utiliza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evento climático extremo real</w:t>
      </w:r>
      <w:r w:rsidRPr="00EC43BB">
        <w:rPr>
          <w:rFonts w:eastAsia="Times New Roman" w:cs="Times New Roman"/>
          <w:sz w:val="24"/>
          <w:szCs w:val="24"/>
          <w:lang w:eastAsia="pt-PT"/>
        </w:rPr>
        <w:t>;</w:t>
      </w:r>
    </w:p>
    <w:p w14:paraId="4C1159E6" w14:textId="77777777" w:rsidR="00FF78A6" w:rsidRPr="00EC43BB" w:rsidRDefault="00FF78A6" w:rsidP="00FF78A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 xml:space="preserve">fornece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curvas de fragilidade empiricamente fundamentadas</w:t>
      </w:r>
      <w:r w:rsidRPr="00EC43BB">
        <w:rPr>
          <w:rFonts w:eastAsia="Times New Roman" w:cs="Times New Roman"/>
          <w:sz w:val="24"/>
          <w:szCs w:val="24"/>
          <w:lang w:eastAsia="pt-PT"/>
        </w:rPr>
        <w:t>;</w:t>
      </w:r>
    </w:p>
    <w:p w14:paraId="50B2A51F" w14:textId="77777777" w:rsidR="00FF78A6" w:rsidRPr="00EC43BB" w:rsidRDefault="00FF78A6" w:rsidP="00FF78A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é altamente compatível com o núcleo científico da sua tese.</w:t>
      </w:r>
    </w:p>
    <w:p w14:paraId="7075648F" w14:textId="77777777" w:rsidR="00FF78A6" w:rsidRPr="00EC43BB" w:rsidRDefault="00FF78A6" w:rsidP="00FF78A6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38EA359A">
          <v:rect id="_x0000_i1036" style="width:0;height:1.5pt" o:hralign="center" o:hrstd="t" o:hr="t" fillcolor="#a0a0a0" stroked="f"/>
        </w:pict>
      </w:r>
    </w:p>
    <w:p w14:paraId="629FBB08" w14:textId="77777777" w:rsidR="00FF78A6" w:rsidRPr="00EC43BB" w:rsidRDefault="00FF78A6" w:rsidP="00FF78A6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pt-PT"/>
        </w:rPr>
      </w:pPr>
      <w:r w:rsidRPr="00EC43BB">
        <w:rPr>
          <w:rFonts w:eastAsia="Times New Roman" w:cs="Times New Roman"/>
          <w:b/>
          <w:bCs/>
          <w:sz w:val="27"/>
          <w:szCs w:val="27"/>
          <w:lang w:eastAsia="pt-PT"/>
        </w:rPr>
        <w:t>8) Classificação resumida (para tabela futura)</w:t>
      </w:r>
    </w:p>
    <w:p w14:paraId="24D71021" w14:textId="77777777" w:rsidR="00FF78A6" w:rsidRPr="00EC43BB" w:rsidRDefault="00FF78A6" w:rsidP="00FF78A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Decisão: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Guardado</w:t>
      </w:r>
    </w:p>
    <w:p w14:paraId="69927CE1" w14:textId="77777777" w:rsidR="00FF78A6" w:rsidRPr="00EC43BB" w:rsidRDefault="00FF78A6" w:rsidP="00FF78A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Foco: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Fragilidade estrutural de torres de transmissão sob ciclones</w:t>
      </w:r>
    </w:p>
    <w:p w14:paraId="33CDBB1A" w14:textId="77777777" w:rsidR="00FF78A6" w:rsidRPr="00EC43BB" w:rsidRDefault="00FF78A6" w:rsidP="00FF78A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Nível de importância: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Altíssimo</w:t>
      </w:r>
    </w:p>
    <w:p w14:paraId="768F957B" w14:textId="77777777" w:rsidR="00FF78A6" w:rsidRPr="00EC43BB" w:rsidRDefault="00FF78A6" w:rsidP="00FF78A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Ponto da tese:</w:t>
      </w:r>
    </w:p>
    <w:p w14:paraId="7D6682FF" w14:textId="77777777" w:rsidR="00FF78A6" w:rsidRPr="00EC43BB" w:rsidRDefault="00FF78A6" w:rsidP="00FF78A6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revisão da literatura;</w:t>
      </w:r>
    </w:p>
    <w:p w14:paraId="60BC5F74" w14:textId="77777777" w:rsidR="00FF78A6" w:rsidRPr="00EC43BB" w:rsidRDefault="00FF78A6" w:rsidP="00FF78A6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resiliência das linhas de transmissão;</w:t>
      </w:r>
    </w:p>
    <w:p w14:paraId="35A6D7DB" w14:textId="77777777" w:rsidR="00FF78A6" w:rsidRPr="00EC43BB" w:rsidRDefault="00FF78A6" w:rsidP="00FF78A6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metodologia adotada;</w:t>
      </w:r>
    </w:p>
    <w:p w14:paraId="5CB3C9EB" w14:textId="77777777" w:rsidR="00FF78A6" w:rsidRPr="00EC43BB" w:rsidRDefault="00FF78A6" w:rsidP="00FF78A6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t>justificativa da escolha</w:t>
      </w:r>
    </w:p>
    <w:p w14:paraId="785622A5" w14:textId="77777777" w:rsidR="00FF78A6" w:rsidRPr="00EC43BB" w:rsidRDefault="00FF78A6" w:rsidP="00FF78A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Pontuação (Resiliência de LT):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9,5 / 10</w:t>
      </w:r>
    </w:p>
    <w:p w14:paraId="1B7C11D3" w14:textId="77777777" w:rsidR="00FF78A6" w:rsidRPr="00EC43BB" w:rsidRDefault="00FF78A6" w:rsidP="00FF78A6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0C172E43">
          <v:rect id="_x0000_i1037" style="width:0;height:1.5pt" o:hralign="center" o:hrstd="t" o:hr="t" fillcolor="#a0a0a0" stroked="f"/>
        </w:pict>
      </w:r>
    </w:p>
    <w:p w14:paraId="01C48520" w14:textId="77777777" w:rsidR="00FF78A6" w:rsidRPr="00EC43BB" w:rsidRDefault="00FF78A6" w:rsidP="00FF78A6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pt-PT"/>
        </w:rPr>
      </w:pPr>
      <w:r w:rsidRPr="00EC43BB">
        <w:rPr>
          <w:rFonts w:ascii="Segoe UI Emoji" w:eastAsia="Times New Roman" w:hAnsi="Segoe UI Emoji" w:cs="Segoe UI Emoji"/>
          <w:b/>
          <w:bCs/>
          <w:sz w:val="27"/>
          <w:szCs w:val="27"/>
          <w:lang w:eastAsia="pt-PT"/>
        </w:rPr>
        <w:t>📌</w:t>
      </w:r>
      <w:r w:rsidRPr="00EC43BB">
        <w:rPr>
          <w:rFonts w:eastAsia="Times New Roman" w:cs="Times New Roman"/>
          <w:b/>
          <w:bCs/>
          <w:sz w:val="27"/>
          <w:szCs w:val="27"/>
          <w:lang w:eastAsia="pt-PT"/>
        </w:rPr>
        <w:t xml:space="preserve"> Síntese final</w:t>
      </w:r>
    </w:p>
    <w:p w14:paraId="6B33DC50" w14:textId="77777777" w:rsidR="00FF78A6" w:rsidRPr="00EC43BB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eastAsia="Times New Roman" w:cs="Times New Roman"/>
          <w:sz w:val="24"/>
          <w:szCs w:val="24"/>
          <w:lang w:eastAsia="pt-PT"/>
        </w:rPr>
        <w:lastRenderedPageBreak/>
        <w:t xml:space="preserve">Este é um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artigo-chave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, raro pela qualidade dos dados reais e pelo tratamento rigoroso das incertezas. Ele se encaixa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perfeitamente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no cerne da sua tese e pode servir como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referência estrutural e metodológica direta</w:t>
      </w:r>
      <w:r w:rsidRPr="00EC43BB">
        <w:rPr>
          <w:rFonts w:eastAsia="Times New Roman" w:cs="Times New Roman"/>
          <w:sz w:val="24"/>
          <w:szCs w:val="24"/>
          <w:lang w:eastAsia="pt-PT"/>
        </w:rPr>
        <w:t>.</w:t>
      </w:r>
    </w:p>
    <w:p w14:paraId="3F97D20A" w14:textId="77777777" w:rsidR="00FF78A6" w:rsidRPr="00EC43BB" w:rsidRDefault="00FF78A6" w:rsidP="00FF78A6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EC43BB">
        <w:rPr>
          <w:rFonts w:ascii="Segoe UI Symbol" w:eastAsia="Times New Roman" w:hAnsi="Segoe UI Symbol" w:cs="Segoe UI Symbol"/>
          <w:sz w:val="24"/>
          <w:szCs w:val="24"/>
          <w:lang w:eastAsia="pt-PT"/>
        </w:rPr>
        <w:t>➡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Um dos </w:t>
      </w:r>
      <w:r w:rsidRPr="00EC43BB">
        <w:rPr>
          <w:rFonts w:eastAsia="Times New Roman" w:cs="Times New Roman"/>
          <w:b/>
          <w:bCs/>
          <w:sz w:val="24"/>
          <w:szCs w:val="24"/>
          <w:lang w:eastAsia="pt-PT"/>
        </w:rPr>
        <w:t>melhores artigos de 2021</w:t>
      </w:r>
      <w:r w:rsidRPr="00EC43BB">
        <w:rPr>
          <w:rFonts w:eastAsia="Times New Roman" w:cs="Times New Roman"/>
          <w:sz w:val="24"/>
          <w:szCs w:val="24"/>
          <w:lang w:eastAsia="pt-PT"/>
        </w:rPr>
        <w:t xml:space="preserve"> para o seu tema.</w:t>
      </w:r>
    </w:p>
    <w:p w14:paraId="3E61A678" w14:textId="77777777" w:rsidR="00FF78A6" w:rsidRPr="00EC43BB" w:rsidRDefault="00FF78A6" w:rsidP="00FF78A6"/>
    <w:p w14:paraId="6ED108EF" w14:textId="77777777" w:rsidR="00FF78A6" w:rsidRDefault="00FF78A6" w:rsidP="00EE1BEC">
      <w:pPr>
        <w:rPr>
          <w:lang w:val="pt-BR"/>
        </w:rPr>
      </w:pPr>
    </w:p>
    <w:p w14:paraId="0A4C8F21" w14:textId="77777777" w:rsidR="00FF78A6" w:rsidRPr="00EE1BEC" w:rsidRDefault="00FF78A6" w:rsidP="00EE1BEC">
      <w:pPr>
        <w:rPr>
          <w:lang w:val="pt-BR"/>
        </w:rPr>
      </w:pPr>
    </w:p>
    <w:sectPr w:rsidR="00FF78A6" w:rsidRPr="00EE1BEC" w:rsidSect="00435A17">
      <w:pgSz w:w="11907" w:h="16840" w:code="9"/>
      <w:pgMar w:top="1440" w:right="1440" w:bottom="1077" w:left="1797" w:header="720" w:footer="119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45940"/>
    <w:multiLevelType w:val="multilevel"/>
    <w:tmpl w:val="4C26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250910"/>
    <w:multiLevelType w:val="multilevel"/>
    <w:tmpl w:val="B9128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1D5A61"/>
    <w:multiLevelType w:val="multilevel"/>
    <w:tmpl w:val="030E8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7C198F"/>
    <w:multiLevelType w:val="multilevel"/>
    <w:tmpl w:val="835A9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656441"/>
    <w:multiLevelType w:val="multilevel"/>
    <w:tmpl w:val="9F16A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0760D2"/>
    <w:multiLevelType w:val="multilevel"/>
    <w:tmpl w:val="3FE0B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B85AFA"/>
    <w:multiLevelType w:val="multilevel"/>
    <w:tmpl w:val="D63E8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AC46B3"/>
    <w:multiLevelType w:val="multilevel"/>
    <w:tmpl w:val="0F5C8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5A1C5A"/>
    <w:multiLevelType w:val="multilevel"/>
    <w:tmpl w:val="E1C26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D87CC5"/>
    <w:multiLevelType w:val="multilevel"/>
    <w:tmpl w:val="A47EF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E86848"/>
    <w:multiLevelType w:val="multilevel"/>
    <w:tmpl w:val="C242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A41B9B"/>
    <w:multiLevelType w:val="multilevel"/>
    <w:tmpl w:val="7EDE7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027153"/>
    <w:multiLevelType w:val="multilevel"/>
    <w:tmpl w:val="A4C0E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AE1402"/>
    <w:multiLevelType w:val="multilevel"/>
    <w:tmpl w:val="905EF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6489721">
    <w:abstractNumId w:val="5"/>
  </w:num>
  <w:num w:numId="2" w16cid:durableId="1930503200">
    <w:abstractNumId w:val="3"/>
  </w:num>
  <w:num w:numId="3" w16cid:durableId="2031644315">
    <w:abstractNumId w:val="2"/>
  </w:num>
  <w:num w:numId="4" w16cid:durableId="674764732">
    <w:abstractNumId w:val="12"/>
  </w:num>
  <w:num w:numId="5" w16cid:durableId="367878944">
    <w:abstractNumId w:val="6"/>
  </w:num>
  <w:num w:numId="6" w16cid:durableId="1169758972">
    <w:abstractNumId w:val="0"/>
  </w:num>
  <w:num w:numId="7" w16cid:durableId="191456180">
    <w:abstractNumId w:val="10"/>
  </w:num>
  <w:num w:numId="8" w16cid:durableId="847408116">
    <w:abstractNumId w:val="7"/>
  </w:num>
  <w:num w:numId="9" w16cid:durableId="1232738378">
    <w:abstractNumId w:val="8"/>
  </w:num>
  <w:num w:numId="10" w16cid:durableId="1124033556">
    <w:abstractNumId w:val="1"/>
  </w:num>
  <w:num w:numId="11" w16cid:durableId="990404453">
    <w:abstractNumId w:val="9"/>
  </w:num>
  <w:num w:numId="12" w16cid:durableId="1161236023">
    <w:abstractNumId w:val="11"/>
  </w:num>
  <w:num w:numId="13" w16cid:durableId="605305476">
    <w:abstractNumId w:val="13"/>
  </w:num>
  <w:num w:numId="14" w16cid:durableId="17871209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BEC"/>
    <w:rsid w:val="000131F2"/>
    <w:rsid w:val="0007293B"/>
    <w:rsid w:val="0008424C"/>
    <w:rsid w:val="00096FFB"/>
    <w:rsid w:val="000C625D"/>
    <w:rsid w:val="000D45BD"/>
    <w:rsid w:val="00172112"/>
    <w:rsid w:val="00196796"/>
    <w:rsid w:val="0024739D"/>
    <w:rsid w:val="00347332"/>
    <w:rsid w:val="00393441"/>
    <w:rsid w:val="0039444F"/>
    <w:rsid w:val="003F704C"/>
    <w:rsid w:val="004234AF"/>
    <w:rsid w:val="00423B9B"/>
    <w:rsid w:val="00435A17"/>
    <w:rsid w:val="004B5BB7"/>
    <w:rsid w:val="00502614"/>
    <w:rsid w:val="005272F0"/>
    <w:rsid w:val="00595B01"/>
    <w:rsid w:val="0061413D"/>
    <w:rsid w:val="007B1727"/>
    <w:rsid w:val="007E69F0"/>
    <w:rsid w:val="008226B2"/>
    <w:rsid w:val="008C0D5E"/>
    <w:rsid w:val="00A04542"/>
    <w:rsid w:val="00A74270"/>
    <w:rsid w:val="00AA4524"/>
    <w:rsid w:val="00AC5231"/>
    <w:rsid w:val="00B7708D"/>
    <w:rsid w:val="00B811CD"/>
    <w:rsid w:val="00BD2C19"/>
    <w:rsid w:val="00BF51C6"/>
    <w:rsid w:val="00C03A12"/>
    <w:rsid w:val="00CE4C5C"/>
    <w:rsid w:val="00D25A09"/>
    <w:rsid w:val="00D63D8E"/>
    <w:rsid w:val="00EE1BEC"/>
    <w:rsid w:val="00F77278"/>
    <w:rsid w:val="00FF7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E3CA87"/>
  <w15:chartTrackingRefBased/>
  <w15:docId w15:val="{4A69CF60-B6A2-4374-B2C3-3DF7311BB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5A17"/>
    <w:pPr>
      <w:spacing w:after="0" w:line="336" w:lineRule="auto"/>
    </w:pPr>
    <w:rPr>
      <w:rFonts w:ascii="Times New Roman" w:eastAsiaTheme="minorEastAsia" w:hAnsi="Times New Roman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  <w:lang w:val="pt-BR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  <w:lang w:val="pt-BR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  <w:lang w:val="pt-BR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  <w:lang w:val="pt-BR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1BE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1BE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1BE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1BE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1BE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32"/>
      <w:szCs w:val="52"/>
      <w:lang w:val="pt-BR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pt-BR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rFonts w:eastAsiaTheme="minorHAnsi"/>
      <w:i/>
      <w:iCs/>
      <w:lang w:val="pt-BR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1BEC"/>
    <w:rPr>
      <w:rFonts w:eastAsiaTheme="majorEastAsia" w:cstheme="majorBidi"/>
      <w:color w:val="0F4761" w:themeColor="accent1" w:themeShade="BF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1BEC"/>
    <w:rPr>
      <w:rFonts w:eastAsiaTheme="majorEastAsia" w:cstheme="majorBidi"/>
      <w:i/>
      <w:iCs/>
      <w:color w:val="595959" w:themeColor="text1" w:themeTint="A6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1BEC"/>
    <w:rPr>
      <w:rFonts w:eastAsiaTheme="majorEastAsia" w:cstheme="majorBidi"/>
      <w:color w:val="595959" w:themeColor="text1" w:themeTint="A6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1BEC"/>
    <w:rPr>
      <w:rFonts w:eastAsiaTheme="majorEastAsia" w:cstheme="majorBidi"/>
      <w:i/>
      <w:iCs/>
      <w:color w:val="272727" w:themeColor="text1" w:themeTint="D8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1BEC"/>
    <w:rPr>
      <w:rFonts w:eastAsiaTheme="majorEastAsia" w:cstheme="majorBidi"/>
      <w:color w:val="272727" w:themeColor="text1" w:themeTint="D8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EE1B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1B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1BEC"/>
    <w:rPr>
      <w:rFonts w:ascii="Times New Roman" w:eastAsiaTheme="minorEastAsia" w:hAnsi="Times New Roman"/>
      <w:i/>
      <w:iCs/>
      <w:color w:val="0F4761" w:themeColor="accent1" w:themeShade="BF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EE1B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1536</Words>
  <Characters>8298</Characters>
  <Application>Microsoft Office Word</Application>
  <DocSecurity>0</DocSecurity>
  <Lines>69</Lines>
  <Paragraphs>19</Paragraphs>
  <ScaleCrop>false</ScaleCrop>
  <Company/>
  <LinksUpToDate>false</LinksUpToDate>
  <CharactersWithSpaces>9815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2</cp:revision>
  <dcterms:created xsi:type="dcterms:W3CDTF">2025-05-05T23:08:00Z</dcterms:created>
  <dcterms:modified xsi:type="dcterms:W3CDTF">2026-01-17T11:59:00Z</dcterms:modified>
</cp:coreProperties>
</file>