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D865" w14:textId="1180A0CC" w:rsidR="00AC5231" w:rsidRDefault="004F3D86">
      <w:pPr>
        <w:rPr>
          <w:lang w:val="en-US"/>
        </w:rPr>
      </w:pPr>
      <w:r w:rsidRPr="004F3D86">
        <w:rPr>
          <w:lang w:val="en-US"/>
        </w:rPr>
        <w:t>2022 Electrical energy systems resilience-A comprehensive review on definitions, challenges, enhancements and future proceedings-IET</w:t>
      </w:r>
    </w:p>
    <w:p w14:paraId="7BC0CB71" w14:textId="77777777" w:rsidR="004F3D86" w:rsidRDefault="004F3D86">
      <w:pPr>
        <w:rPr>
          <w:lang w:val="en-US"/>
        </w:rPr>
      </w:pPr>
    </w:p>
    <w:p w14:paraId="252CEB18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F4354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4743BDE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5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F435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435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F. Amini, S.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Ghassemzadeh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N. Rostami, V. Sohrabi Tabar, </w:t>
      </w:r>
      <w:r w:rsidRPr="00F4354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Electrical energy systems resilience: A comprehensive review on definitions, challenges, enhancements and future proceedings</w:t>
      </w:r>
      <w:r w:rsidRPr="00F435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IET Renewable Power Generation</w:t>
      </w:r>
      <w:r w:rsidRPr="00F4354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17, pp. 1835–1858, 2023. 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10.1049/rpg2.12705. </w:t>
      </w:r>
    </w:p>
    <w:p w14:paraId="0CDA0E82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46B49CD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AD49B0">
          <v:rect id="_x0000_i1025" style="width:0;height:1.5pt" o:hralign="center" o:hrstd="t" o:hr="t" fillcolor="#a0a0a0" stroked="f"/>
        </w:pict>
      </w:r>
    </w:p>
    <w:p w14:paraId="42FAF645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0C682C5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de revisão abrangente (</w:t>
      </w:r>
      <w:proofErr w:type="spellStart"/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state-of-the-art</w:t>
      </w:r>
      <w:proofErr w:type="spellEnd"/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IET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energia elétrica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(geração, transmissão e distribuição). O trabalho consolida definições, eventos HILP, métricas, curvas de resiliência, estratégias de melhoria e lacunas de investigação.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 e conceitual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experimental.</w:t>
      </w:r>
    </w:p>
    <w:p w14:paraId="4A9380E7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F0CD3D">
          <v:rect id="_x0000_i1026" style="width:0;height:1.5pt" o:hralign="center" o:hrstd="t" o:hr="t" fillcolor="#a0a0a0" stroked="f"/>
        </w:pict>
      </w:r>
    </w:p>
    <w:p w14:paraId="17C506BF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7CA08548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Definições e enquadramento conceitual</w:t>
      </w:r>
    </w:p>
    <w:p w14:paraId="35260854" w14:textId="77777777" w:rsidR="00F4354C" w:rsidRPr="00F4354C" w:rsidRDefault="00F4354C" w:rsidP="00F4354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Distingue claramente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confiabilidade, risco, segurança e vulnerabilidade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1A4B05" w14:textId="77777777" w:rsidR="00F4354C" w:rsidRPr="00F4354C" w:rsidRDefault="00F4354C" w:rsidP="00F4354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Adota a visão clássica de resiliência como capacidade de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prever, absorver, resistir, recuperar e adaptar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eventos HILP (Sec. 4; Fig. 11–12).</w:t>
      </w:r>
    </w:p>
    <w:p w14:paraId="7EBCC3BF" w14:textId="77777777" w:rsidR="00F4354C" w:rsidRPr="00F4354C" w:rsidRDefault="00F4354C" w:rsidP="00F4354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 o uso das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(triângulo e trapézio), com fases </w:t>
      </w: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before</w:t>
      </w:r>
      <w:proofErr w:type="spellEnd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during</w:t>
      </w:r>
      <w:proofErr w:type="spellEnd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after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(Sec. 5; Figs. 13–15).</w:t>
      </w:r>
    </w:p>
    <w:p w14:paraId="2AAE7AC9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de eventos HILP</w:t>
      </w:r>
    </w:p>
    <w:p w14:paraId="02A9495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 HILP em quatro grandes grupos (Sec. 3; Fig. 5):</w:t>
      </w:r>
    </w:p>
    <w:p w14:paraId="33702E2E" w14:textId="77777777" w:rsidR="00F4354C" w:rsidRPr="00F4354C" w:rsidRDefault="00F4354C" w:rsidP="00F4354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técnicas em cascata;</w:t>
      </w:r>
    </w:p>
    <w:p w14:paraId="71A879CB" w14:textId="77777777" w:rsidR="00F4354C" w:rsidRPr="00F4354C" w:rsidRDefault="00F4354C" w:rsidP="00F4354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naturais extremos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(furacões, ventos, cheias, sismos);</w:t>
      </w:r>
    </w:p>
    <w:p w14:paraId="675564D8" w14:textId="77777777" w:rsidR="00F4354C" w:rsidRPr="00F4354C" w:rsidRDefault="00F4354C" w:rsidP="00F4354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Space</w:t>
      </w:r>
      <w:proofErr w:type="spellEnd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0A954C" w14:textId="77777777" w:rsidR="00F4354C" w:rsidRPr="00F4354C" w:rsidRDefault="00F4354C" w:rsidP="00F4354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Ataques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ciberfísicos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0E74D9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</w:t>
      </w:r>
      <w:proofErr w:type="gram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seu doutoramento, o grupo (2) é o mais relevante, com discussão explícita de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vento, furacões e impactos em linhas aéreas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A5ACC7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Modelação de danos e fragilidade</w:t>
      </w:r>
    </w:p>
    <w:p w14:paraId="12E2498E" w14:textId="77777777" w:rsidR="00F4354C" w:rsidRPr="00F4354C" w:rsidRDefault="00F4354C" w:rsidP="00F4354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Descreve metodologias padrão de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(log-normais) para componentes elétricos, incluindo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níveis de dano graduais (Sec. 5.2.1;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1; Fig. 16).</w:t>
      </w:r>
    </w:p>
    <w:p w14:paraId="0E2C786C" w14:textId="77777777" w:rsidR="00F4354C" w:rsidRPr="00F4354C" w:rsidRDefault="00F4354C" w:rsidP="00F4354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modelos </w:t>
      </w:r>
      <w:proofErr w:type="spellStart"/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Markovianos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cenários e EVT para modelar eventos extremos e incertezas (Sec. 5.2.2).</w:t>
      </w:r>
    </w:p>
    <w:p w14:paraId="5B1484A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 o artigo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desenvolve novos modelos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sistematiza os existentes.</w:t>
      </w:r>
    </w:p>
    <w:p w14:paraId="3D32B897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FE7101">
          <v:rect id="_x0000_i1027" style="width:0;height:1.5pt" o:hralign="center" o:hrstd="t" o:hr="t" fillcolor="#a0a0a0" stroked="f"/>
        </w:pict>
      </w:r>
    </w:p>
    <w:p w14:paraId="5DE0473B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Índices de resiliência</w:t>
      </w:r>
    </w:p>
    <w:p w14:paraId="00197C21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e organiza os principais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quantitativos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usados na literatura (Sec. 6):</w:t>
      </w:r>
    </w:p>
    <w:p w14:paraId="6CBB9B5C" w14:textId="77777777" w:rsidR="00F4354C" w:rsidRPr="00F4354C" w:rsidRDefault="00F4354C" w:rsidP="00F435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integrais baseados em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P(t)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 e 3);</w:t>
      </w:r>
    </w:p>
    <w:p w14:paraId="7443FA0D" w14:textId="77777777" w:rsidR="00F4354C" w:rsidRPr="00F4354C" w:rsidRDefault="00F4354C" w:rsidP="00F435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normalizados dependentes de estados degradados e restaurados (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4);</w:t>
      </w:r>
    </w:p>
    <w:p w14:paraId="6EDCC645" w14:textId="77777777" w:rsidR="00F4354C" w:rsidRPr="00F4354C" w:rsidRDefault="00F4354C" w:rsidP="00F435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estocásticos que combinam robustez e recuperabilidade (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5–9);</w:t>
      </w:r>
    </w:p>
    <w:p w14:paraId="26AF4785" w14:textId="77777777" w:rsidR="00F4354C" w:rsidRPr="00F4354C" w:rsidRDefault="00F4354C" w:rsidP="00F435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dependentes de tempo de restauração e rapidez (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10–11).</w:t>
      </w:r>
    </w:p>
    <w:p w14:paraId="2D5775EF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índice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evidencia a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fragmentação e complexidade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métricas existentes.</w:t>
      </w:r>
    </w:p>
    <w:p w14:paraId="0F5429A5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421704">
          <v:rect id="_x0000_i1028" style="width:0;height:1.5pt" o:hralign="center" o:hrstd="t" o:hr="t" fillcolor="#a0a0a0" stroked="f"/>
        </w:pict>
      </w:r>
    </w:p>
    <w:p w14:paraId="2ACE4DEC" w14:textId="77777777" w:rsidR="00F4354C" w:rsidRPr="00F4354C" w:rsidRDefault="00F4354C" w:rsidP="00F4354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Estratégias de melhoria da resiliência</w:t>
      </w:r>
    </w:p>
    <w:p w14:paraId="47902C4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 estratégias em (Sec. 7):</w:t>
      </w:r>
    </w:p>
    <w:p w14:paraId="01007073" w14:textId="77777777" w:rsidR="00F4354C" w:rsidRPr="00F4354C" w:rsidRDefault="00F4354C" w:rsidP="00F4354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 prazo (operacionais)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micro-redes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reconfiguração, restauração de cargas, fontes móveis, gestão de equipas, </w:t>
      </w:r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de-</w:t>
      </w:r>
      <w:proofErr w:type="spellStart"/>
      <w:r w:rsidRPr="00F4354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(incluindo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8E6A387" w14:textId="77777777" w:rsidR="00F4354C" w:rsidRPr="00F4354C" w:rsidRDefault="00F4354C" w:rsidP="00F4354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Longo prazo (planeamento)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proofErr w:type="spellStart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enterramento de linhas, gestão de vegetação, reforço estrutural, elevação de subestações.</w:t>
      </w:r>
    </w:p>
    <w:p w14:paraId="131C2AEB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Tabelas 2 e 3 fazem um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mapeamento extensivo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literatura.</w:t>
      </w:r>
    </w:p>
    <w:p w14:paraId="3AA7332E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79E4A0">
          <v:rect id="_x0000_i1029" style="width:0;height:1.5pt" o:hralign="center" o:hrstd="t" o:hr="t" fillcolor="#a0a0a0" stroked="f"/>
        </w:pict>
      </w:r>
    </w:p>
    <w:p w14:paraId="3B633794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857EC0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0078CE9" w14:textId="77777777" w:rsidR="00F4354C" w:rsidRPr="00F4354C" w:rsidRDefault="00F4354C" w:rsidP="00F4354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foca exclusivamente em transmissão (aborda geração e distribuição em conjunto);</w:t>
      </w:r>
    </w:p>
    <w:p w14:paraId="0CB5867D" w14:textId="77777777" w:rsidR="00F4354C" w:rsidRPr="00F4354C" w:rsidRDefault="00F4354C" w:rsidP="00F4354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novo, simples ou operacional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F51399" w14:textId="77777777" w:rsidR="00F4354C" w:rsidRPr="00F4354C" w:rsidRDefault="00F4354C" w:rsidP="00F4354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desenvolve modelação própria de vento × falha estrutural.</w:t>
      </w:r>
    </w:p>
    <w:p w14:paraId="16FD922D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</w:t>
      </w:r>
      <w:proofErr w:type="gramStart"/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</w:t>
      </w:r>
      <w:proofErr w:type="gram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essas limitações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lacuna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18DD87AA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447E73">
          <v:rect id="_x0000_i1030" style="width:0;height:1.5pt" o:hralign="center" o:hrstd="t" o:hr="t" fillcolor="#a0a0a0" stroked="f"/>
        </w:pict>
      </w:r>
    </w:p>
    <w:p w14:paraId="05AA4AE5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7107E744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73FFEC2" w14:textId="77777777" w:rsidR="00F4354C" w:rsidRPr="00F4354C" w:rsidRDefault="00F4354C" w:rsidP="00F435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 e estado da arte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1D3769" w14:textId="77777777" w:rsidR="00F4354C" w:rsidRPr="00F4354C" w:rsidRDefault="00F4354C" w:rsidP="00F435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 confiabilidade e resiliência;</w:t>
      </w:r>
    </w:p>
    <w:p w14:paraId="74E3964D" w14:textId="77777777" w:rsidR="00F4354C" w:rsidRPr="00F4354C" w:rsidRDefault="00F4354C" w:rsidP="00F435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mais simples e práticos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09FC09" w14:textId="77777777" w:rsidR="00F4354C" w:rsidRPr="00F4354C" w:rsidRDefault="00F4354C" w:rsidP="00F4354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referência-mãe</w:t>
      </w:r>
      <w:proofErr w:type="spellEnd"/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enquadrar metodologias, métricas e terminologia.</w:t>
      </w:r>
    </w:p>
    <w:p w14:paraId="4C16CD0B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âncora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revisão, típico de capítulos iniciais de tese.</w:t>
      </w:r>
    </w:p>
    <w:p w14:paraId="21C50ECB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4080C">
          <v:rect id="_x0000_i1031" style="width:0;height:1.5pt" o:hralign="center" o:hrstd="t" o:hr="t" fillcolor="#a0a0a0" stroked="f"/>
        </w:pict>
      </w:r>
    </w:p>
    <w:p w14:paraId="1FD53586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51731CDC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8271331" w14:textId="77777777" w:rsidR="00F4354C" w:rsidRPr="00F4354C" w:rsidRDefault="00F4354C" w:rsidP="00F4354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A5A162">
          <v:rect id="_x0000_i1032" style="width:0;height:1.5pt" o:hralign="center" o:hrstd="t" o:hr="t" fillcolor="#a0a0a0" stroked="f"/>
        </w:pict>
      </w:r>
    </w:p>
    <w:p w14:paraId="1E180E87" w14:textId="77777777" w:rsidR="00F4354C" w:rsidRPr="00F4354C" w:rsidRDefault="00F4354C" w:rsidP="00F4354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1BF20EB6" w14:textId="77777777" w:rsidR="00F4354C" w:rsidRPr="00F4354C" w:rsidRDefault="00F4354C" w:rsidP="00F435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02B2267" w14:textId="77777777" w:rsidR="00F4354C" w:rsidRPr="00F4354C" w:rsidRDefault="00F4354C" w:rsidP="00F435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abrangente sobre resiliência em sistemas elétricos sob eventos HILP</w:t>
      </w:r>
    </w:p>
    <w:p w14:paraId="01D38B6F" w14:textId="77777777" w:rsidR="00F4354C" w:rsidRPr="00F4354C" w:rsidRDefault="00F4354C" w:rsidP="00F435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B98D5C7" w14:textId="77777777" w:rsidR="00F4354C" w:rsidRPr="00F4354C" w:rsidRDefault="00F4354C" w:rsidP="00F435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encontrada; Fundamentação conceitual</w:t>
      </w:r>
    </w:p>
    <w:p w14:paraId="214DEC78" w14:textId="77777777" w:rsidR="00F4354C" w:rsidRPr="00F4354C" w:rsidRDefault="00F4354C" w:rsidP="00F4354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4575726A" w14:textId="77777777" w:rsidR="00F4354C" w:rsidRPr="00F4354C" w:rsidRDefault="00F4354C" w:rsidP="00F4354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pode enviar 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2022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indicar que este foi o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do grupo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que eu gere a </w:t>
      </w:r>
      <w:r w:rsidRPr="00F4354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consolidada</w:t>
      </w:r>
      <w:r w:rsidRPr="00F4354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conforme combinado.</w:t>
      </w:r>
    </w:p>
    <w:p w14:paraId="5D3E5375" w14:textId="77777777" w:rsidR="004F3D86" w:rsidRPr="00F4354C" w:rsidRDefault="004F3D86"/>
    <w:sectPr w:rsidR="004F3D86" w:rsidRPr="00F4354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7C9"/>
    <w:multiLevelType w:val="multilevel"/>
    <w:tmpl w:val="844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4DB7"/>
    <w:multiLevelType w:val="multilevel"/>
    <w:tmpl w:val="677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16559"/>
    <w:multiLevelType w:val="multilevel"/>
    <w:tmpl w:val="AF8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97C32"/>
    <w:multiLevelType w:val="multilevel"/>
    <w:tmpl w:val="E09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A6799"/>
    <w:multiLevelType w:val="multilevel"/>
    <w:tmpl w:val="5E7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36F9"/>
    <w:multiLevelType w:val="multilevel"/>
    <w:tmpl w:val="4500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80790"/>
    <w:multiLevelType w:val="multilevel"/>
    <w:tmpl w:val="B78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3579F"/>
    <w:multiLevelType w:val="multilevel"/>
    <w:tmpl w:val="654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319398">
    <w:abstractNumId w:val="7"/>
  </w:num>
  <w:num w:numId="2" w16cid:durableId="127825287">
    <w:abstractNumId w:val="5"/>
  </w:num>
  <w:num w:numId="3" w16cid:durableId="720516366">
    <w:abstractNumId w:val="0"/>
  </w:num>
  <w:num w:numId="4" w16cid:durableId="168521132">
    <w:abstractNumId w:val="2"/>
  </w:num>
  <w:num w:numId="5" w16cid:durableId="1009795977">
    <w:abstractNumId w:val="4"/>
  </w:num>
  <w:num w:numId="6" w16cid:durableId="2145387570">
    <w:abstractNumId w:val="1"/>
  </w:num>
  <w:num w:numId="7" w16cid:durableId="226427352">
    <w:abstractNumId w:val="3"/>
  </w:num>
  <w:num w:numId="8" w16cid:durableId="1575313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8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F3D86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4354C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2B82"/>
  <w15:chartTrackingRefBased/>
  <w15:docId w15:val="{D9782A3D-F93A-4609-A2BE-2788DA26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8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8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8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8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8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F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8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F3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54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4354C"/>
    <w:rPr>
      <w:b/>
      <w:bCs/>
    </w:rPr>
  </w:style>
  <w:style w:type="character" w:styleId="Emphasis">
    <w:name w:val="Emphasis"/>
    <w:basedOn w:val="DefaultParagraphFont"/>
    <w:uiPriority w:val="20"/>
    <w:qFormat/>
    <w:rsid w:val="00F4354C"/>
    <w:rPr>
      <w:i/>
      <w:iCs/>
    </w:rPr>
  </w:style>
  <w:style w:type="character" w:customStyle="1" w:styleId="relative">
    <w:name w:val="relative"/>
    <w:basedOn w:val="DefaultParagraphFont"/>
    <w:rsid w:val="00F4354C"/>
  </w:style>
  <w:style w:type="paragraph" w:customStyle="1" w:styleId="not-prose">
    <w:name w:val="not-prose"/>
    <w:basedOn w:val="Normal"/>
    <w:rsid w:val="00F4354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688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2026-01-04T10:26:00Z</dcterms:created>
  <dcterms:modified xsi:type="dcterms:W3CDTF">2026-01-04T10:28:00Z</dcterms:modified>
</cp:coreProperties>
</file>