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0F89" w14:textId="21648369" w:rsidR="00AC5231" w:rsidRDefault="00A951BB">
      <w:r w:rsidRPr="00A951BB">
        <w:t>2022 Resiliência do Setor Elétrico Brasileiro e o desafio da renovação dos ativos de transmissão-GESEL</w:t>
      </w:r>
    </w:p>
    <w:p w14:paraId="2CDA5A9E" w14:textId="77777777" w:rsidR="00A951BB" w:rsidRDefault="00A951BB"/>
    <w:p w14:paraId="3A7D0BB0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(2022)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Título: </w:t>
      </w:r>
      <w:r w:rsidRPr="002261D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do Setor Elétrico Brasileiro e o desafio da renovação dos ativos de transmissão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Autores: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Lorrane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Câmara;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Mauricio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Moszkowicz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Nelson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Hubner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Lillian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Monteath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Fonte: GESEL – Canal Energia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Ano: 2022 </w:t>
      </w:r>
    </w:p>
    <w:p w14:paraId="6A364271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Resiliência do Setor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E9FCB48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180925">
          <v:rect id="_x0000_i1025" style="width:0;height:1.5pt" o:hralign="center" o:hrstd="t" o:hr="t" fillcolor="#a0a0a0" stroked="f"/>
        </w:pict>
      </w:r>
    </w:p>
    <w:p w14:paraId="13466805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0F1139A6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discute a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setor elétrico brasileiro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a ótica do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envelhecimento dos ativos de transmissão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 necessidade de sua renovação, integrando três dimensões principais:</w:t>
      </w:r>
    </w:p>
    <w:p w14:paraId="22DD40C4" w14:textId="77777777" w:rsidR="002261D9" w:rsidRPr="002261D9" w:rsidRDefault="002261D9" w:rsidP="002261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ativos;</w:t>
      </w:r>
    </w:p>
    <w:p w14:paraId="1D0A602B" w14:textId="77777777" w:rsidR="002261D9" w:rsidRPr="002261D9" w:rsidRDefault="002261D9" w:rsidP="002261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regulação econômica;</w:t>
      </w:r>
    </w:p>
    <w:p w14:paraId="3218179B" w14:textId="77777777" w:rsidR="002261D9" w:rsidRPr="002261D9" w:rsidRDefault="002261D9" w:rsidP="002261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do sistema elétrico.</w:t>
      </w:r>
    </w:p>
    <w:p w14:paraId="614E61CF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mostra que a resiliência não é apenas um conceito operacional, mas está diretamente associada à capacidade do sistema de:</w:t>
      </w:r>
    </w:p>
    <w:p w14:paraId="170B2D80" w14:textId="77777777" w:rsidR="002261D9" w:rsidRPr="002261D9" w:rsidRDefault="002261D9" w:rsidP="002261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manter níveis adequados de confiabilidade;</w:t>
      </w:r>
    </w:p>
    <w:p w14:paraId="22DD3F2D" w14:textId="77777777" w:rsidR="002261D9" w:rsidRPr="002261D9" w:rsidRDefault="002261D9" w:rsidP="002261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evitar riscos crescentes oriundos de ativos em fim de vida útil regulatória;</w:t>
      </w:r>
    </w:p>
    <w:p w14:paraId="1CCD5341" w14:textId="77777777" w:rsidR="002261D9" w:rsidRPr="002261D9" w:rsidRDefault="002261D9" w:rsidP="002261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equilibrar custos tarifários e segurança do fornecimento. </w:t>
      </w:r>
    </w:p>
    <w:p w14:paraId="0BFF970B" w14:textId="77777777" w:rsidR="002261D9" w:rsidRPr="002261D9" w:rsidRDefault="002261D9" w:rsidP="002261D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Resiliência do Setor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7523DD6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estratégico-regulatório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implicações diretas na infraestrutura física da transmissão.</w:t>
      </w:r>
    </w:p>
    <w:p w14:paraId="591B2776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237C7F">
          <v:rect id="_x0000_i1026" style="width:0;height:1.5pt" o:hralign="center" o:hrstd="t" o:hr="t" fillcolor="#a0a0a0" stroked="f"/>
        </w:pict>
      </w:r>
    </w:p>
    <w:p w14:paraId="01C5C937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relevantes</w:t>
      </w:r>
    </w:p>
    <w:p w14:paraId="1BC4F350" w14:textId="77777777" w:rsidR="002261D9" w:rsidRPr="002261D9" w:rsidRDefault="002261D9" w:rsidP="002261D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Relação direta entre envelhecimento e risco de resiliência</w:t>
      </w:r>
    </w:p>
    <w:p w14:paraId="6DB6FD9B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que a permanência de ativos totalmente depreciados pode:</w:t>
      </w:r>
    </w:p>
    <w:p w14:paraId="202C2756" w14:textId="77777777" w:rsidR="002261D9" w:rsidRPr="002261D9" w:rsidRDefault="002261D9" w:rsidP="002261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elevar os riscos operacionais do sistema;</w:t>
      </w:r>
    </w:p>
    <w:p w14:paraId="58EDC3D1" w14:textId="77777777" w:rsidR="002261D9" w:rsidRPr="002261D9" w:rsidRDefault="002261D9" w:rsidP="002261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comprometer a confiabilidade futura;</w:t>
      </w:r>
    </w:p>
    <w:p w14:paraId="347DFDE5" w14:textId="77777777" w:rsidR="002261D9" w:rsidRPr="002261D9" w:rsidRDefault="002261D9" w:rsidP="002261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impactar diretamente a resiliência estrutural da rede de transmissão. </w:t>
      </w:r>
    </w:p>
    <w:p w14:paraId="60821348" w14:textId="77777777" w:rsidR="002261D9" w:rsidRPr="002261D9" w:rsidRDefault="002261D9" w:rsidP="002261D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Resiliência do Setor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92A89DE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Isso é essencial para a sua tese, pois estabelece que:</w:t>
      </w:r>
    </w:p>
    <w:p w14:paraId="6FF80C3F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não é apenas resposta a eventos extremos, mas também resultado da condição física acumulada dos ativos.</w:t>
      </w:r>
    </w:p>
    <w:p w14:paraId="19FABDCE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6C0CD9">
          <v:rect id="_x0000_i1027" style="width:0;height:1.5pt" o:hralign="center" o:hrstd="t" o:hr="t" fillcolor="#a0a0a0" stroked="f"/>
        </w:pict>
      </w:r>
    </w:p>
    <w:p w14:paraId="4350577C" w14:textId="77777777" w:rsidR="002261D9" w:rsidRPr="002261D9" w:rsidRDefault="002261D9" w:rsidP="002261D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Identificação explícita das linhas como elementos críticos</w:t>
      </w:r>
    </w:p>
    <w:p w14:paraId="7C390D1B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ANEEL identificou que cerca de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44% do valor dos ativos de transmissão totalmente depreciados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está concentrado em:</w:t>
      </w:r>
    </w:p>
    <w:p w14:paraId="33B8B594" w14:textId="77777777" w:rsidR="002261D9" w:rsidRPr="002261D9" w:rsidRDefault="002261D9" w:rsidP="002261D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1AB07A" w14:textId="77777777" w:rsidR="002261D9" w:rsidRPr="002261D9" w:rsidRDefault="002261D9" w:rsidP="002261D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Estruturas (postes e torres)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AF11DA0" w14:textId="77777777" w:rsidR="002261D9" w:rsidRPr="002261D9" w:rsidRDefault="002261D9" w:rsidP="002261D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Resiliência do Setor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F0A4CC7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ponto absolutamente central para a sua tese, pois:</w:t>
      </w:r>
    </w:p>
    <w:p w14:paraId="49305D56" w14:textId="77777777" w:rsidR="002261D9" w:rsidRPr="002261D9" w:rsidRDefault="002261D9" w:rsidP="002261D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confirma que as linhas de transmissão são o núcleo físico da degradação estrutural;</w:t>
      </w:r>
    </w:p>
    <w:p w14:paraId="5F798D93" w14:textId="77777777" w:rsidR="002261D9" w:rsidRPr="002261D9" w:rsidRDefault="002261D9" w:rsidP="002261D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legitima o estudo de resiliência focado especificamente nas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39185E" w14:textId="77777777" w:rsidR="002261D9" w:rsidRPr="002261D9" w:rsidRDefault="002261D9" w:rsidP="002261D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regulação econômica diretamente à fragilidade física dos ativos.</w:t>
      </w:r>
    </w:p>
    <w:p w14:paraId="0A68B16F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35AC49">
          <v:rect id="_x0000_i1028" style="width:0;height:1.5pt" o:hralign="center" o:hrstd="t" o:hr="t" fillcolor="#a0a0a0" stroked="f"/>
        </w:pict>
      </w:r>
    </w:p>
    <w:p w14:paraId="6D6B9649" w14:textId="77777777" w:rsidR="002261D9" w:rsidRPr="002261D9" w:rsidRDefault="002261D9" w:rsidP="002261D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Distinção entre vida útil regulatória e vida útil física</w:t>
      </w:r>
    </w:p>
    <w:p w14:paraId="537159BE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enfatiza que:</w:t>
      </w:r>
    </w:p>
    <w:p w14:paraId="3E8CA52A" w14:textId="77777777" w:rsidR="002261D9" w:rsidRPr="002261D9" w:rsidRDefault="002261D9" w:rsidP="002261D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fim da vida útil regulatória não implica, necessariamente, o fim da vida útil física;</w:t>
      </w:r>
    </w:p>
    <w:p w14:paraId="34A91F9D" w14:textId="77777777" w:rsidR="002261D9" w:rsidRPr="002261D9" w:rsidRDefault="002261D9" w:rsidP="002261D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entretanto, operar ativos depreciados sem incentivos adequados pode elevar riscos sistêmicos. </w:t>
      </w:r>
    </w:p>
    <w:p w14:paraId="572E9E54" w14:textId="77777777" w:rsidR="002261D9" w:rsidRPr="002261D9" w:rsidRDefault="002261D9" w:rsidP="002261D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Resiliência do Setor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27CE39E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sustenta tecnicamente a necessidade de:</w:t>
      </w:r>
    </w:p>
    <w:p w14:paraId="7C34FBD6" w14:textId="77777777" w:rsidR="002261D9" w:rsidRPr="002261D9" w:rsidRDefault="002261D9" w:rsidP="002261D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baseados na condição real do ativo;</w:t>
      </w:r>
    </w:p>
    <w:p w14:paraId="17AE3FF9" w14:textId="77777777" w:rsidR="002261D9" w:rsidRPr="002261D9" w:rsidRDefault="002261D9" w:rsidP="002261D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que diferenciem idade cronológica, condição estrutural e risco funcional.</w:t>
      </w:r>
    </w:p>
    <w:p w14:paraId="12D8F76C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1F42FC">
          <v:rect id="_x0000_i1029" style="width:0;height:1.5pt" o:hralign="center" o:hrstd="t" o:hr="t" fillcolor="#a0a0a0" stroked="f"/>
        </w:pict>
      </w:r>
    </w:p>
    <w:p w14:paraId="2898940C" w14:textId="77777777" w:rsidR="002261D9" w:rsidRPr="002261D9" w:rsidRDefault="002261D9" w:rsidP="002261D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Relação entre incentivos econômicos e resiliência</w:t>
      </w:r>
    </w:p>
    <w:p w14:paraId="0074517A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 o atual arcabouço regulatório:</w:t>
      </w:r>
    </w:p>
    <w:p w14:paraId="096662E1" w14:textId="77777777" w:rsidR="002261D9" w:rsidRPr="002261D9" w:rsidRDefault="002261D9" w:rsidP="002261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estimular a substituição massiva de ativos;</w:t>
      </w:r>
    </w:p>
    <w:p w14:paraId="37EC1600" w14:textId="77777777" w:rsidR="002261D9" w:rsidRPr="002261D9" w:rsidRDefault="002261D9" w:rsidP="002261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mas também carece de incentivos claros para a manutenção segura de ativos depreciados ainda fisicamente viáveis. </w:t>
      </w:r>
    </w:p>
    <w:p w14:paraId="7714CF2F" w14:textId="77777777" w:rsidR="002261D9" w:rsidRPr="002261D9" w:rsidRDefault="002261D9" w:rsidP="002261D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Resiliência do Setor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45D23AD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reforça que a resiliência é influenciada por:</w:t>
      </w:r>
    </w:p>
    <w:p w14:paraId="342E8960" w14:textId="77777777" w:rsidR="002261D9" w:rsidRPr="002261D9" w:rsidRDefault="002261D9" w:rsidP="002261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técnicas;</w:t>
      </w:r>
    </w:p>
    <w:p w14:paraId="78590682" w14:textId="77777777" w:rsidR="002261D9" w:rsidRPr="002261D9" w:rsidRDefault="002261D9" w:rsidP="002261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econômicas;</w:t>
      </w:r>
    </w:p>
    <w:p w14:paraId="0A5B92E1" w14:textId="77777777" w:rsidR="002261D9" w:rsidRPr="002261D9" w:rsidRDefault="002261D9" w:rsidP="002261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sinais regulatórios.</w:t>
      </w:r>
    </w:p>
    <w:p w14:paraId="761E79B5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59AEE9">
          <v:rect id="_x0000_i1030" style="width:0;height:1.5pt" o:hralign="center" o:hrstd="t" o:hr="t" fillcolor="#a0a0a0" stroked="f"/>
        </w:pict>
      </w:r>
    </w:p>
    <w:p w14:paraId="0A3008E5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do artigo para a sua tese</w:t>
      </w:r>
    </w:p>
    <w:p w14:paraId="6FD201A5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relevante, o artigo:</w:t>
      </w:r>
    </w:p>
    <w:p w14:paraId="66960994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apresenta:</w:t>
      </w:r>
    </w:p>
    <w:p w14:paraId="24FA6FAC" w14:textId="77777777" w:rsidR="002261D9" w:rsidRPr="002261D9" w:rsidRDefault="002261D9" w:rsidP="002261D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fragilidade estrutural;</w:t>
      </w:r>
    </w:p>
    <w:p w14:paraId="369AEB75" w14:textId="77777777" w:rsidR="002261D9" w:rsidRPr="002261D9" w:rsidRDefault="002261D9" w:rsidP="002261D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falha dependentes de clima;</w:t>
      </w:r>
    </w:p>
    <w:p w14:paraId="7047B667" w14:textId="77777777" w:rsidR="002261D9" w:rsidRPr="002261D9" w:rsidRDefault="002261D9" w:rsidP="002261D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de eventos extremos;</w:t>
      </w:r>
    </w:p>
    <w:p w14:paraId="0A2D7187" w14:textId="77777777" w:rsidR="002261D9" w:rsidRPr="002261D9" w:rsidRDefault="002261D9" w:rsidP="002261D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formais de resiliência.</w:t>
      </w:r>
    </w:p>
    <w:p w14:paraId="0C68EEEF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atua como:</w:t>
      </w:r>
    </w:p>
    <w:p w14:paraId="30A304B7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conceitual, regulatório e institucional,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como base metodológica de modelagem física.</w:t>
      </w:r>
    </w:p>
    <w:p w14:paraId="78F8BBAA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981A1A">
          <v:rect id="_x0000_i1031" style="width:0;height:1.5pt" o:hralign="center" o:hrstd="t" o:hr="t" fillcolor="#a0a0a0" stroked="f"/>
        </w:pict>
      </w:r>
    </w:p>
    <w:p w14:paraId="79446B21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sua tese</w:t>
      </w:r>
    </w:p>
    <w:p w14:paraId="50CED34A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2261D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1438"/>
      </w:tblGrid>
      <w:tr w:rsidR="002261D9" w:rsidRPr="002261D9" w14:paraId="7FA7C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C92EE" w14:textId="77777777" w:rsidR="002261D9" w:rsidRPr="002261D9" w:rsidRDefault="002261D9" w:rsidP="002261D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ED6E29" w14:textId="77777777" w:rsidR="002261D9" w:rsidRPr="002261D9" w:rsidRDefault="002261D9" w:rsidP="002261D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261D9" w:rsidRPr="002261D9" w14:paraId="131D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AD3C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objeto físico</w:t>
            </w:r>
          </w:p>
        </w:tc>
        <w:tc>
          <w:tcPr>
            <w:tcW w:w="0" w:type="auto"/>
            <w:vAlign w:val="center"/>
            <w:hideMark/>
          </w:tcPr>
          <w:p w14:paraId="2091C41F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1D9" w:rsidRPr="002261D9" w14:paraId="3E91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1F6D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estrutural</w:t>
            </w:r>
          </w:p>
        </w:tc>
        <w:tc>
          <w:tcPr>
            <w:tcW w:w="0" w:type="auto"/>
            <w:vAlign w:val="center"/>
            <w:hideMark/>
          </w:tcPr>
          <w:p w14:paraId="5EDF7B80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1D9" w:rsidRPr="002261D9" w14:paraId="23D19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2394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Risco operacional associado a ativos</w:t>
            </w:r>
          </w:p>
        </w:tc>
        <w:tc>
          <w:tcPr>
            <w:tcW w:w="0" w:type="auto"/>
            <w:vAlign w:val="center"/>
            <w:hideMark/>
          </w:tcPr>
          <w:p w14:paraId="6353E052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1D9" w:rsidRPr="002261D9" w14:paraId="3C4A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A63E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BE571C3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Implícitos</w:t>
            </w:r>
            <w:proofErr w:type="gramEnd"/>
          </w:p>
        </w:tc>
      </w:tr>
      <w:tr w:rsidR="002261D9" w:rsidRPr="002261D9" w14:paraId="64C35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B1C6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mecânica de torres e cabos</w:t>
            </w:r>
          </w:p>
        </w:tc>
        <w:tc>
          <w:tcPr>
            <w:tcW w:w="0" w:type="auto"/>
            <w:vAlign w:val="center"/>
            <w:hideMark/>
          </w:tcPr>
          <w:p w14:paraId="17459DCC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261D9" w:rsidRPr="002261D9" w14:paraId="1D0F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09DA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falhas</w:t>
            </w:r>
          </w:p>
        </w:tc>
        <w:tc>
          <w:tcPr>
            <w:tcW w:w="0" w:type="auto"/>
            <w:vAlign w:val="center"/>
            <w:hideMark/>
          </w:tcPr>
          <w:p w14:paraId="2FD1C218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261D9" w:rsidRPr="002261D9" w14:paraId="71EAB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FA89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conceitual de resiliência</w:t>
            </w:r>
          </w:p>
        </w:tc>
        <w:tc>
          <w:tcPr>
            <w:tcW w:w="0" w:type="auto"/>
            <w:vAlign w:val="center"/>
            <w:hideMark/>
          </w:tcPr>
          <w:p w14:paraId="3EEF0048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61D9" w:rsidRPr="002261D9" w14:paraId="6480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E741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Interface regulação × confiabilidade × resiliência</w:t>
            </w:r>
          </w:p>
        </w:tc>
        <w:tc>
          <w:tcPr>
            <w:tcW w:w="0" w:type="auto"/>
            <w:vAlign w:val="center"/>
            <w:hideMark/>
          </w:tcPr>
          <w:p w14:paraId="778C82C0" w14:textId="77777777" w:rsidR="002261D9" w:rsidRPr="002261D9" w:rsidRDefault="002261D9" w:rsidP="002261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61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11C45AA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estrutural: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261D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física: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261D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e estratégica: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74A9686A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2E4238">
          <v:rect id="_x0000_i1032" style="width:0;height:1.5pt" o:hralign="center" o:hrstd="t" o:hr="t" fillcolor="#a0a0a0" stroked="f"/>
        </w:pict>
      </w:r>
    </w:p>
    <w:p w14:paraId="2217ACA9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real para a sua tese</w:t>
      </w:r>
    </w:p>
    <w:p w14:paraId="01479681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326594CD" w14:textId="77777777" w:rsidR="002261D9" w:rsidRPr="002261D9" w:rsidRDefault="002261D9" w:rsidP="002261D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do problema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0A5051" w14:textId="77777777" w:rsidR="002261D9" w:rsidRPr="002261D9" w:rsidRDefault="002261D9" w:rsidP="002261D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 novos índices de resiliência;</w:t>
      </w:r>
    </w:p>
    <w:p w14:paraId="6CB82294" w14:textId="77777777" w:rsidR="002261D9" w:rsidRPr="002261D9" w:rsidRDefault="002261D9" w:rsidP="002261D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a degradação das </w:t>
      </w:r>
      <w:proofErr w:type="spellStart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problema reconhecido institucionalmente;</w:t>
      </w:r>
    </w:p>
    <w:p w14:paraId="6F13869E" w14:textId="77777777" w:rsidR="002261D9" w:rsidRPr="002261D9" w:rsidRDefault="002261D9" w:rsidP="002261D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ligar resiliência à gestão de ativos e à regulação.</w:t>
      </w:r>
    </w:p>
    <w:p w14:paraId="5B20492B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perfeito para:</w:t>
      </w:r>
    </w:p>
    <w:p w14:paraId="00A3D483" w14:textId="77777777" w:rsidR="002261D9" w:rsidRPr="002261D9" w:rsidRDefault="002261D9" w:rsidP="002261D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281C498F" w14:textId="77777777" w:rsidR="002261D9" w:rsidRPr="002261D9" w:rsidRDefault="002261D9" w:rsidP="002261D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tese;</w:t>
      </w:r>
    </w:p>
    <w:p w14:paraId="603EAD9E" w14:textId="77777777" w:rsidR="002261D9" w:rsidRPr="002261D9" w:rsidRDefault="002261D9" w:rsidP="002261D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impacto sistêmico.</w:t>
      </w:r>
    </w:p>
    <w:p w14:paraId="5F97745B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adequado para:</w:t>
      </w:r>
    </w:p>
    <w:p w14:paraId="5057A312" w14:textId="77777777" w:rsidR="002261D9" w:rsidRPr="002261D9" w:rsidRDefault="002261D9" w:rsidP="002261D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de modelagem de falha física;</w:t>
      </w:r>
    </w:p>
    <w:p w14:paraId="4D17C57A" w14:textId="77777777" w:rsidR="002261D9" w:rsidRPr="002261D9" w:rsidRDefault="002261D9" w:rsidP="002261D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direta do índice matemático.</w:t>
      </w:r>
    </w:p>
    <w:p w14:paraId="23FFAE4B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AF31F7">
          <v:rect id="_x0000_i1033" style="width:0;height:1.5pt" o:hralign="center" o:hrstd="t" o:hr="t" fillcolor="#a0a0a0" stroked="f"/>
        </w:pict>
      </w:r>
    </w:p>
    <w:p w14:paraId="22CE25FA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59939A2C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E8E6639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é um dos melhores textos de base institucional já analisados sobre:</w:t>
      </w:r>
    </w:p>
    <w:p w14:paraId="07F46331" w14:textId="77777777" w:rsidR="002261D9" w:rsidRPr="002261D9" w:rsidRDefault="002261D9" w:rsidP="002261D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das linhas;</w:t>
      </w:r>
    </w:p>
    <w:p w14:paraId="458DF10B" w14:textId="77777777" w:rsidR="002261D9" w:rsidRPr="002261D9" w:rsidRDefault="002261D9" w:rsidP="002261D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de confiabilidade;</w:t>
      </w:r>
    </w:p>
    <w:p w14:paraId="71650D35" w14:textId="77777777" w:rsidR="002261D9" w:rsidRPr="002261D9" w:rsidRDefault="002261D9" w:rsidP="002261D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gestão resiliente dos ativos de transmissão.</w:t>
      </w:r>
    </w:p>
    <w:p w14:paraId="4CB89EC4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dá sustentação estratégica, econômica e regulatória à sua tese.</w:t>
      </w:r>
    </w:p>
    <w:p w14:paraId="61AFB06C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1C9F7C">
          <v:rect id="_x0000_i1034" style="width:0;height:1.5pt" o:hralign="center" o:hrstd="t" o:hr="t" fillcolor="#a0a0a0" stroked="f"/>
        </w:pict>
      </w:r>
    </w:p>
    <w:p w14:paraId="2C101CAA" w14:textId="77777777" w:rsidR="002261D9" w:rsidRPr="002261D9" w:rsidRDefault="002261D9" w:rsidP="002261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 final)</w:t>
      </w:r>
    </w:p>
    <w:p w14:paraId="01288226" w14:textId="77777777" w:rsidR="002261D9" w:rsidRPr="002261D9" w:rsidRDefault="002261D9" w:rsidP="002261D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A159DDC" w14:textId="77777777" w:rsidR="002261D9" w:rsidRPr="002261D9" w:rsidRDefault="002261D9" w:rsidP="002261D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sistêmica associada ao envelhecimento e renovação dos ativos de transmissão</w:t>
      </w:r>
    </w:p>
    <w:p w14:paraId="7A55C149" w14:textId="77777777" w:rsidR="002261D9" w:rsidRPr="002261D9" w:rsidRDefault="002261D9" w:rsidP="002261D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6E4F3FC" w14:textId="77777777" w:rsidR="002261D9" w:rsidRPr="002261D9" w:rsidRDefault="002261D9" w:rsidP="002261D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Ponto da tese:</w:t>
      </w:r>
    </w:p>
    <w:p w14:paraId="5870E057" w14:textId="77777777" w:rsidR="002261D9" w:rsidRPr="002261D9" w:rsidRDefault="002261D9" w:rsidP="002261D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D5B429E" w14:textId="77777777" w:rsidR="002261D9" w:rsidRPr="002261D9" w:rsidRDefault="002261D9" w:rsidP="002261D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1179F82" w14:textId="77777777" w:rsidR="002261D9" w:rsidRPr="002261D9" w:rsidRDefault="002261D9" w:rsidP="002261D9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24F1EA8" w14:textId="77777777" w:rsidR="002261D9" w:rsidRPr="002261D9" w:rsidRDefault="002261D9" w:rsidP="002261D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60580A77" w14:textId="77777777" w:rsidR="002261D9" w:rsidRPr="002261D9" w:rsidRDefault="002261D9" w:rsidP="002261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1F07DA">
          <v:rect id="_x0000_i1035" style="width:0;height:1.5pt" o:hralign="center" o:hrstd="t" o:hr="t" fillcolor="#a0a0a0" stroked="f"/>
        </w:pict>
      </w:r>
    </w:p>
    <w:p w14:paraId="2C9665C0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61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0CA4D85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legitima institucionalmente o seu trabalho.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prova que:</w:t>
      </w:r>
    </w:p>
    <w:p w14:paraId="0C0CA7D5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envelhecimento das linhas de transmissão já é visto como um problema de resiliência nacional.</w:t>
      </w:r>
    </w:p>
    <w:p w14:paraId="5C8F58EA" w14:textId="77777777" w:rsidR="002261D9" w:rsidRPr="002261D9" w:rsidRDefault="002261D9" w:rsidP="002261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entra exatamente no ponto que ele não resolve:</w:t>
      </w:r>
      <w:r w:rsidRPr="002261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como medir, modelar e quantificar essa resiliência fisicamente ao longo do tempo.</w:t>
      </w:r>
    </w:p>
    <w:p w14:paraId="7111BB54" w14:textId="77777777" w:rsidR="00A951BB" w:rsidRDefault="00A951BB"/>
    <w:sectPr w:rsidR="00A951B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01F6"/>
    <w:multiLevelType w:val="multilevel"/>
    <w:tmpl w:val="BA4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99C"/>
    <w:multiLevelType w:val="multilevel"/>
    <w:tmpl w:val="630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5031"/>
    <w:multiLevelType w:val="multilevel"/>
    <w:tmpl w:val="7BE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45E3"/>
    <w:multiLevelType w:val="multilevel"/>
    <w:tmpl w:val="8F2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F3CC4"/>
    <w:multiLevelType w:val="multilevel"/>
    <w:tmpl w:val="C0B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16A7F"/>
    <w:multiLevelType w:val="multilevel"/>
    <w:tmpl w:val="BC3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42290"/>
    <w:multiLevelType w:val="multilevel"/>
    <w:tmpl w:val="73F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96D22"/>
    <w:multiLevelType w:val="multilevel"/>
    <w:tmpl w:val="FEE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3473C"/>
    <w:multiLevelType w:val="multilevel"/>
    <w:tmpl w:val="3A3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72A85"/>
    <w:multiLevelType w:val="multilevel"/>
    <w:tmpl w:val="FC5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B7EB0"/>
    <w:multiLevelType w:val="multilevel"/>
    <w:tmpl w:val="F38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46554"/>
    <w:multiLevelType w:val="multilevel"/>
    <w:tmpl w:val="0482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A6634"/>
    <w:multiLevelType w:val="multilevel"/>
    <w:tmpl w:val="53C0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600AF"/>
    <w:multiLevelType w:val="multilevel"/>
    <w:tmpl w:val="D6C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04846"/>
    <w:multiLevelType w:val="multilevel"/>
    <w:tmpl w:val="E07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78181">
    <w:abstractNumId w:val="1"/>
  </w:num>
  <w:num w:numId="2" w16cid:durableId="268002978">
    <w:abstractNumId w:val="13"/>
  </w:num>
  <w:num w:numId="3" w16cid:durableId="1636831130">
    <w:abstractNumId w:val="3"/>
  </w:num>
  <w:num w:numId="4" w16cid:durableId="288708860">
    <w:abstractNumId w:val="5"/>
  </w:num>
  <w:num w:numId="5" w16cid:durableId="1227112190">
    <w:abstractNumId w:val="14"/>
  </w:num>
  <w:num w:numId="6" w16cid:durableId="572935990">
    <w:abstractNumId w:val="12"/>
  </w:num>
  <w:num w:numId="7" w16cid:durableId="449470051">
    <w:abstractNumId w:val="0"/>
  </w:num>
  <w:num w:numId="8" w16cid:durableId="1627274382">
    <w:abstractNumId w:val="9"/>
  </w:num>
  <w:num w:numId="9" w16cid:durableId="1490168271">
    <w:abstractNumId w:val="10"/>
  </w:num>
  <w:num w:numId="10" w16cid:durableId="1099251503">
    <w:abstractNumId w:val="4"/>
  </w:num>
  <w:num w:numId="11" w16cid:durableId="1629627509">
    <w:abstractNumId w:val="6"/>
  </w:num>
  <w:num w:numId="12" w16cid:durableId="313221219">
    <w:abstractNumId w:val="7"/>
  </w:num>
  <w:num w:numId="13" w16cid:durableId="125439905">
    <w:abstractNumId w:val="2"/>
  </w:num>
  <w:num w:numId="14" w16cid:durableId="625552091">
    <w:abstractNumId w:val="8"/>
  </w:num>
  <w:num w:numId="15" w16cid:durableId="1531063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B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261D9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951BB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709E9"/>
  <w15:chartTrackingRefBased/>
  <w15:docId w15:val="{8F2F2282-97D8-4B23-B531-7ACCD7C2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1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1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1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1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B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1B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1B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1B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1B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9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1B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951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1D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2261D9"/>
    <w:rPr>
      <w:i/>
      <w:iCs/>
    </w:rPr>
  </w:style>
  <w:style w:type="character" w:customStyle="1" w:styleId="relative">
    <w:name w:val="relative"/>
    <w:basedOn w:val="DefaultParagraphFont"/>
    <w:rsid w:val="002261D9"/>
  </w:style>
  <w:style w:type="paragraph" w:customStyle="1" w:styleId="not-prose">
    <w:name w:val="not-prose"/>
    <w:basedOn w:val="Normal"/>
    <w:rsid w:val="002261D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26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856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2026-01-10T11:16:00Z</dcterms:created>
  <dcterms:modified xsi:type="dcterms:W3CDTF">2026-01-10T11:16:00Z</dcterms:modified>
</cp:coreProperties>
</file>