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06D3" w14:textId="0AC5FDF0" w:rsidR="00AC5231" w:rsidRDefault="00611A01">
      <w:pPr>
        <w:rPr>
          <w:lang w:val="en-US"/>
        </w:rPr>
      </w:pPr>
      <w:r w:rsidRPr="00611A01">
        <w:rPr>
          <w:lang w:val="en-US"/>
        </w:rPr>
        <w:t xml:space="preserve">2022 The Resilience of The Grid from the Risk of Failure Due to Kite Thread Disturbance-Case Study </w:t>
      </w:r>
      <w:proofErr w:type="spellStart"/>
      <w:r w:rsidRPr="00611A01">
        <w:rPr>
          <w:lang w:val="en-US"/>
        </w:rPr>
        <w:t>Khatulistiwa</w:t>
      </w:r>
      <w:proofErr w:type="spellEnd"/>
      <w:r w:rsidRPr="00611A01">
        <w:rPr>
          <w:lang w:val="en-US"/>
        </w:rPr>
        <w:t xml:space="preserve"> Grid-IEEE</w:t>
      </w:r>
    </w:p>
    <w:p w14:paraId="7A1DC9C1" w14:textId="77777777" w:rsidR="00611A01" w:rsidRDefault="00611A01">
      <w:pPr>
        <w:rPr>
          <w:lang w:val="en-US"/>
        </w:rPr>
      </w:pPr>
    </w:p>
    <w:p w14:paraId="020D4DCC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(2022)</w:t>
      </w:r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A5D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FA5D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A5D8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The Resilience of the Grid from the Risk of Failure Due to Kite Thread Disturbance – Case Study </w:t>
      </w:r>
      <w:proofErr w:type="spellStart"/>
      <w:r w:rsidRPr="00FA5D8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Khatulistiwa</w:t>
      </w:r>
      <w:proofErr w:type="spellEnd"/>
      <w:r w:rsidRPr="00FA5D8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 Grid</w:t>
      </w:r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A5D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FA5D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S. </w:t>
      </w:r>
      <w:proofErr w:type="spellStart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Sasmono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M. Z. </w:t>
      </w:r>
      <w:proofErr w:type="spellStart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Romdlony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M. R. Rosa, C. Ekaputri, A. V. Endri, R. </w:t>
      </w:r>
      <w:proofErr w:type="spellStart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Akmeliawati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L. Chen, R. Faizal</w:t>
      </w:r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PES Innovative Smart Grid Technologies – Asia (ISGT Asia), 2022</w:t>
      </w:r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10.1109/ISGTASIA54193.2022.10003494</w:t>
      </w:r>
    </w:p>
    <w:p w14:paraId="536E355E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Referência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IEEE:</w:t>
      </w:r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[1] S. </w:t>
      </w:r>
      <w:proofErr w:type="spellStart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Sasmono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A5D8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et al.</w:t>
      </w:r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“The resilience of the grid from the risk of failure due to kite thread disturbance: Case study </w:t>
      </w:r>
      <w:proofErr w:type="spellStart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Khatulistiwa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Grid,” in </w:t>
      </w:r>
      <w:r w:rsidRPr="00FA5D8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Proc. </w:t>
      </w:r>
      <w:r w:rsidRPr="00FA5D8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IEEE PES ISGT Asia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2022, doi: 10.1109/ISGTASIA54193.2022.10003494.</w:t>
      </w:r>
    </w:p>
    <w:p w14:paraId="46024213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ACC835">
          <v:rect id="_x0000_i1025" style="width:0;height:1.5pt" o:hralign="center" o:hrstd="t" o:hr="t" fillcolor="#a0a0a0" stroked="f"/>
        </w:pict>
      </w:r>
    </w:p>
    <w:p w14:paraId="5FADA519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3A393E3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trata da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 frente a um evento extremo de origem antrópica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 interferência por linhas de pipa (</w:t>
      </w:r>
      <w:proofErr w:type="spellStart"/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kite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thread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disturbance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556D4334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enquadram explicitamente este fenómeno como:</w:t>
      </w:r>
    </w:p>
    <w:p w14:paraId="5BB816A1" w14:textId="77777777" w:rsidR="00FA5D83" w:rsidRPr="00FA5D83" w:rsidRDefault="00FA5D83" w:rsidP="00FA5D8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 de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 probabilidade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048F82E" w14:textId="77777777" w:rsidR="00FA5D83" w:rsidRPr="00FA5D83" w:rsidRDefault="00FA5D83" w:rsidP="00FA5D8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de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impacto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A65C072" w14:textId="77777777" w:rsidR="00FA5D83" w:rsidRPr="00FA5D83" w:rsidRDefault="00FA5D83" w:rsidP="00FA5D8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caracterizando-o como um tipo de </w:t>
      </w:r>
      <w:proofErr w:type="spellStart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man-made</w:t>
      </w:r>
      <w:proofErr w:type="spellEnd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attack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a rede elétrica.</w:t>
      </w:r>
    </w:p>
    <w:p w14:paraId="3C94B70C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definição de resiliência adotada segue a formulação clássica do IEEE PES:</w:t>
      </w:r>
    </w:p>
    <w:p w14:paraId="303F14D6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preparar, resistir, recuperar e reduzir a duração e a severidade das interrupções.</w:t>
      </w:r>
    </w:p>
    <w:p w14:paraId="7F0F2889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Aqui, a resiliência é tratada sob a ótica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económica-operacional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associando diretamente:</w:t>
      </w:r>
    </w:p>
    <w:p w14:paraId="039304F6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física da linha → interrupção → energia não suprida → custo de resiliência.</w:t>
      </w:r>
    </w:p>
    <w:p w14:paraId="3A320824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897770">
          <v:rect id="_x0000_i1026" style="width:0;height:1.5pt" o:hralign="center" o:hrstd="t" o:hr="t" fillcolor="#a0a0a0" stroked="f"/>
        </w:pict>
      </w:r>
    </w:p>
    <w:p w14:paraId="2C6F1E74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Contribuição técnica principal</w:t>
      </w:r>
    </w:p>
    <w:p w14:paraId="3DF005A8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inova ao:</w:t>
      </w:r>
    </w:p>
    <w:p w14:paraId="3C15DCBE" w14:textId="77777777" w:rsidR="00FA5D83" w:rsidRPr="00FA5D83" w:rsidRDefault="00FA5D83" w:rsidP="00FA5D8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Classificar a interferência por linha de pipa como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problema formal de resiliência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C22F47" w14:textId="77777777" w:rsidR="00FA5D83" w:rsidRPr="00FA5D83" w:rsidRDefault="00FA5D83" w:rsidP="00FA5D8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Definir a resiliência através do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da energia não suprida (</w:t>
      </w:r>
      <w:proofErr w:type="spellStart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ENSd</w:t>
      </w:r>
      <w:proofErr w:type="spellEnd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9C90DC" w14:textId="77777777" w:rsidR="00FA5D83" w:rsidRPr="00FA5D83" w:rsidRDefault="00FA5D83" w:rsidP="00FA5D8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Propor que qualquer medida de mitigação só é justificável se:</w:t>
      </w:r>
    </w:p>
    <w:p w14:paraId="4A6E0823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mitiga</m:t>
              </m:r>
              <m:limUpp>
                <m:limUp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limUp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\c</m:t>
                  </m:r>
                </m:lim>
              </m:limUpp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resili</m:t>
              </m:r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ncia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A3AF3BD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resili</m:t>
            </m:r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e</m:t>
                </m:r>
              </m:e>
            </m:acc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ncia</m:t>
            </m:r>
          </m:sub>
        </m:sSub>
      </m:oMath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custo económico das interrupções.</w:t>
      </w:r>
    </w:p>
    <w:p w14:paraId="42A58F5F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 abordagem transforma a resiliência num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critério de decisão económico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apenas técnico.</w:t>
      </w:r>
    </w:p>
    <w:p w14:paraId="647A1723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B7E9E4">
          <v:rect id="_x0000_i1027" style="width:0;height:1.5pt" o:hralign="center" o:hrstd="t" o:hr="t" fillcolor="#a0a0a0" stroked="f"/>
        </w:pict>
      </w:r>
    </w:p>
    <w:p w14:paraId="3AD67B92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Modelo de avaliação de resiliência</w:t>
      </w:r>
    </w:p>
    <w:p w14:paraId="514F726B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usa o chamado </w:t>
      </w:r>
      <w:proofErr w:type="spellStart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dividindo o evento em três fases:</w:t>
      </w:r>
    </w:p>
    <w:p w14:paraId="6FE55FAA" w14:textId="77777777" w:rsidR="00FA5D83" w:rsidRPr="00FA5D83" w:rsidRDefault="00FA5D83" w:rsidP="00FA5D8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 I – progressão da perturbação;</w:t>
      </w:r>
    </w:p>
    <w:p w14:paraId="4D93F312" w14:textId="77777777" w:rsidR="00FA5D83" w:rsidRPr="00FA5D83" w:rsidRDefault="00FA5D83" w:rsidP="00FA5D8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 II – estado degradado pós-falha;</w:t>
      </w:r>
    </w:p>
    <w:p w14:paraId="3FE0CC2F" w14:textId="77777777" w:rsidR="00FA5D83" w:rsidRPr="00FA5D83" w:rsidRDefault="00FA5D83" w:rsidP="00FA5D8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 III – fase restaurativa.</w:t>
      </w:r>
    </w:p>
    <w:p w14:paraId="2E060E54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matemático central é:</w:t>
      </w:r>
    </w:p>
    <w:p w14:paraId="39606B88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EN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30A1107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743C2476" w14:textId="77777777" w:rsidR="00FA5D83" w:rsidRPr="00FA5D83" w:rsidRDefault="00FA5D83" w:rsidP="00FA5D8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EN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sub>
        </m:sSub>
      </m:oMath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energia não suprida durante a falha;</w:t>
      </w:r>
    </w:p>
    <w:p w14:paraId="424FCACA" w14:textId="77777777" w:rsidR="00FA5D83" w:rsidRPr="00FA5D83" w:rsidRDefault="00FA5D83" w:rsidP="00FA5D8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sub>
        </m:sSub>
      </m:oMath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potência perdida;</w:t>
      </w:r>
    </w:p>
    <w:p w14:paraId="0A236E0B" w14:textId="77777777" w:rsidR="00FA5D83" w:rsidRPr="00FA5D83" w:rsidRDefault="00FA5D83" w:rsidP="00FA5D8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fase1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fase2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fase3</m:t>
            </m:r>
          </m:sub>
        </m:sSub>
      </m:oMath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duração total da perturbação.</w:t>
      </w:r>
    </w:p>
    <w:p w14:paraId="0C415A7D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metodologia de avaliação segue três etapas:</w:t>
      </w:r>
    </w:p>
    <w:p w14:paraId="4239339E" w14:textId="77777777" w:rsidR="00FA5D83" w:rsidRPr="00FA5D83" w:rsidRDefault="00FA5D83" w:rsidP="00FA5D8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da probabilidade e duração da falha;</w:t>
      </w:r>
    </w:p>
    <w:p w14:paraId="277E15CF" w14:textId="77777777" w:rsidR="00FA5D83" w:rsidRPr="00FA5D83" w:rsidRDefault="00FA5D83" w:rsidP="00FA5D8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do sistema elétrico durante o evento;</w:t>
      </w:r>
    </w:p>
    <w:p w14:paraId="2B175EC6" w14:textId="77777777" w:rsidR="00FA5D83" w:rsidRPr="00FA5D83" w:rsidRDefault="00FA5D83" w:rsidP="00FA5D8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sub>
        </m:sSub>
      </m:oMath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</m:t>
        </m:r>
      </m:oMath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EN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sub>
        </m:sSub>
      </m:oMath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9B8ABA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definição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 e económica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resiliência, não estrutural.</w:t>
      </w:r>
    </w:p>
    <w:p w14:paraId="7C25CF45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94A061">
          <v:rect id="_x0000_i1028" style="width:0;height:1.5pt" o:hralign="center" o:hrstd="t" o:hr="t" fillcolor="#a0a0a0" stroked="f"/>
        </w:pict>
      </w:r>
    </w:p>
    <w:p w14:paraId="518D71C4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4) Caso de estudo: </w:t>
      </w:r>
      <w:proofErr w:type="spellStart"/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Khatulistiwa</w:t>
      </w:r>
      <w:proofErr w:type="spellEnd"/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</w:t>
      </w:r>
      <w:proofErr w:type="spellStart"/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Grid</w:t>
      </w:r>
      <w:proofErr w:type="spellEnd"/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(Indonésia)</w:t>
      </w:r>
    </w:p>
    <w:p w14:paraId="3A525507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analisado é uma rede de 150 kV fortemente exposta à prática cultural de soltar pipas.</w:t>
      </w:r>
    </w:p>
    <w:p w14:paraId="0394CBCF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históricos: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314"/>
        <w:gridCol w:w="887"/>
        <w:gridCol w:w="634"/>
        <w:gridCol w:w="622"/>
      </w:tblGrid>
      <w:tr w:rsidR="00FA5D83" w:rsidRPr="00FA5D83" w14:paraId="730C6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B64A4" w14:textId="77777777" w:rsidR="00FA5D83" w:rsidRPr="00FA5D83" w:rsidRDefault="00FA5D83" w:rsidP="00FA5D8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14:paraId="1330DA5F" w14:textId="77777777" w:rsidR="00FA5D83" w:rsidRPr="00FA5D83" w:rsidRDefault="00FA5D83" w:rsidP="00FA5D8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Interrupções por pipa</w:t>
            </w:r>
          </w:p>
        </w:tc>
        <w:tc>
          <w:tcPr>
            <w:tcW w:w="0" w:type="auto"/>
            <w:vAlign w:val="center"/>
            <w:hideMark/>
          </w:tcPr>
          <w:p w14:paraId="54362C7A" w14:textId="77777777" w:rsidR="00FA5D83" w:rsidRPr="00FA5D83" w:rsidRDefault="00FA5D83" w:rsidP="00FA5D8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Árvores</w:t>
            </w:r>
          </w:p>
        </w:tc>
        <w:tc>
          <w:tcPr>
            <w:tcW w:w="0" w:type="auto"/>
            <w:vAlign w:val="center"/>
            <w:hideMark/>
          </w:tcPr>
          <w:p w14:paraId="3D55267A" w14:textId="77777777" w:rsidR="00FA5D83" w:rsidRPr="00FA5D83" w:rsidRDefault="00FA5D83" w:rsidP="00FA5D8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Raios</w:t>
            </w:r>
          </w:p>
        </w:tc>
        <w:tc>
          <w:tcPr>
            <w:tcW w:w="0" w:type="auto"/>
            <w:vAlign w:val="center"/>
            <w:hideMark/>
          </w:tcPr>
          <w:p w14:paraId="06B1EE37" w14:textId="77777777" w:rsidR="00FA5D83" w:rsidRPr="00FA5D83" w:rsidRDefault="00FA5D83" w:rsidP="00FA5D8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Relés</w:t>
            </w:r>
          </w:p>
        </w:tc>
      </w:tr>
      <w:tr w:rsidR="00FA5D83" w:rsidRPr="00FA5D83" w14:paraId="5FA14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A0E9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0351CF35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211</w:t>
            </w:r>
          </w:p>
        </w:tc>
        <w:tc>
          <w:tcPr>
            <w:tcW w:w="0" w:type="auto"/>
            <w:vAlign w:val="center"/>
            <w:hideMark/>
          </w:tcPr>
          <w:p w14:paraId="7486DF72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5370549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5AD2AF70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</w:t>
            </w:r>
          </w:p>
        </w:tc>
      </w:tr>
      <w:tr w:rsidR="00FA5D83" w:rsidRPr="00FA5D83" w14:paraId="44A61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2EAD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2020</w:t>
            </w:r>
          </w:p>
        </w:tc>
        <w:tc>
          <w:tcPr>
            <w:tcW w:w="0" w:type="auto"/>
            <w:vAlign w:val="center"/>
            <w:hideMark/>
          </w:tcPr>
          <w:p w14:paraId="64A884A1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292</w:t>
            </w:r>
          </w:p>
        </w:tc>
        <w:tc>
          <w:tcPr>
            <w:tcW w:w="0" w:type="auto"/>
            <w:vAlign w:val="center"/>
            <w:hideMark/>
          </w:tcPr>
          <w:p w14:paraId="2FF4EFE7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A43B78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518A6088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</w:t>
            </w:r>
          </w:p>
        </w:tc>
      </w:tr>
    </w:tbl>
    <w:p w14:paraId="32E05807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a maior causa de perturbação do sistema é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antropogénica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climática.</w:t>
      </w:r>
    </w:p>
    <w:p w14:paraId="639DC5CE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Algumas linhas chegam a probabilidades anuais de falha próximas de 0,19, valores extremamente elevados para padrões de transmissão.</w:t>
      </w:r>
    </w:p>
    <w:p w14:paraId="36BA51B1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D966D4">
          <v:rect id="_x0000_i1029" style="width:0;height:1.5pt" o:hralign="center" o:hrstd="t" o:hr="t" fillcolor="#a0a0a0" stroked="f"/>
        </w:pict>
      </w:r>
    </w:p>
    <w:p w14:paraId="24DCD5AF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Modelação elétrica da falha</w:t>
      </w:r>
    </w:p>
    <w:p w14:paraId="46FE6102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interferência da linha de pipa é modelada como:</w:t>
      </w:r>
    </w:p>
    <w:p w14:paraId="27DC59AD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curto-circuito monofásico à terra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já que normalmente a linha de pipa toca apenas uma fase.</w:t>
      </w:r>
    </w:p>
    <w:p w14:paraId="4B69146B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simulações são realizadas no </w:t>
      </w:r>
      <w:proofErr w:type="spellStart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DIgSILENT</w:t>
      </w:r>
      <w:proofErr w:type="spellEnd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PowerFactory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19412D28" w14:textId="77777777" w:rsidR="00FA5D83" w:rsidRPr="00FA5D83" w:rsidRDefault="00FA5D83" w:rsidP="00FA5D8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fluxo de carga;</w:t>
      </w:r>
    </w:p>
    <w:p w14:paraId="746E1AAA" w14:textId="77777777" w:rsidR="00FA5D83" w:rsidRPr="00FA5D83" w:rsidRDefault="00FA5D83" w:rsidP="00FA5D8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estabilidade transitória;</w:t>
      </w:r>
    </w:p>
    <w:p w14:paraId="3F01E25F" w14:textId="77777777" w:rsidR="00FA5D83" w:rsidRPr="00FA5D83" w:rsidRDefault="00FA5D83" w:rsidP="00FA5D8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estabilidade de frequência.</w:t>
      </w:r>
    </w:p>
    <w:p w14:paraId="46561EAB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 importante:</w:t>
      </w:r>
    </w:p>
    <w:p w14:paraId="70E35CE3" w14:textId="77777777" w:rsidR="00FA5D83" w:rsidRPr="00FA5D83" w:rsidRDefault="00FA5D83" w:rsidP="00FA5D8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Só ocorre </w:t>
      </w:r>
      <w:r w:rsidRPr="00FA5D8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blackout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sistémico quando a falha atinge a linha crítica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150 kV Sei </w:t>
      </w:r>
      <w:proofErr w:type="spellStart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Raya</w:t>
      </w:r>
      <w:proofErr w:type="spellEnd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– </w:t>
      </w:r>
      <w:proofErr w:type="spellStart"/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Siantan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D6F5757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linha alimenta cerca de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16,84 MW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correspondendo a uma região inteira da província de </w:t>
      </w:r>
      <w:proofErr w:type="spellStart"/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Kalimantan</w:t>
      </w:r>
      <w:proofErr w:type="spellEnd"/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Ocidental.</w:t>
      </w:r>
    </w:p>
    <w:p w14:paraId="13768D95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4AB8B3">
          <v:rect id="_x0000_i1030" style="width:0;height:1.5pt" o:hralign="center" o:hrstd="t" o:hr="t" fillcolor="#a0a0a0" stroked="f"/>
        </w:pict>
      </w:r>
    </w:p>
    <w:p w14:paraId="462252F6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Estabilidade transitória e de frequência</w:t>
      </w:r>
    </w:p>
    <w:p w14:paraId="2DD58C4C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do blackout local, o sistema:</w:t>
      </w:r>
    </w:p>
    <w:p w14:paraId="74740CC8" w14:textId="77777777" w:rsidR="00FA5D83" w:rsidRPr="00FA5D83" w:rsidRDefault="00FA5D83" w:rsidP="00FA5D8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mantém estabilidade angular dos geradores;</w:t>
      </w:r>
    </w:p>
    <w:p w14:paraId="231B584F" w14:textId="77777777" w:rsidR="00FA5D83" w:rsidRPr="00FA5D83" w:rsidRDefault="00FA5D83" w:rsidP="00FA5D8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mantém frequência dentro do intervalo 49–51 Hz;</w:t>
      </w:r>
    </w:p>
    <w:p w14:paraId="6B1787B8" w14:textId="77777777" w:rsidR="00FA5D83" w:rsidRPr="00FA5D83" w:rsidRDefault="00FA5D83" w:rsidP="00FA5D8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apresenta recuperação dinâmica adequada.</w:t>
      </w:r>
    </w:p>
    <w:p w14:paraId="00BE8074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mostra que:</w:t>
      </w:r>
    </w:p>
    <w:p w14:paraId="2752971E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problema não é colapso sistémico, mas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localizada severa de fornecimento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7C1D7D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é um típico problema de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 local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estabilidade global.</w:t>
      </w:r>
    </w:p>
    <w:p w14:paraId="0283FD3F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9C5643">
          <v:rect id="_x0000_i1031" style="width:0;height:1.5pt" o:hralign="center" o:hrstd="t" o:hr="t" fillcolor="#a0a0a0" stroked="f"/>
        </w:pict>
      </w:r>
    </w:p>
    <w:p w14:paraId="1C9717E4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7) Quantificação económica da resiliência</w:t>
      </w:r>
    </w:p>
    <w:p w14:paraId="6B7C5849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utilizados:</w:t>
      </w:r>
    </w:p>
    <w:p w14:paraId="1C53E889" w14:textId="77777777" w:rsidR="00FA5D83" w:rsidRPr="00FA5D83" w:rsidRDefault="00FA5D83" w:rsidP="00FA5D8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máximo de recuperação: 1,35 h;</w:t>
      </w:r>
    </w:p>
    <w:p w14:paraId="5A0CA350" w14:textId="77777777" w:rsidR="00FA5D83" w:rsidRPr="00FA5D83" w:rsidRDefault="00FA5D83" w:rsidP="00FA5D8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Tarifa média: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997</m:t>
        </m:r>
        <m:r>
          <m:rPr>
            <m:nor/>
          </m:rPr>
          <w:rPr>
            <w:rFonts w:eastAsia="Times New Roman" w:cs="Times New Roman"/>
            <w:kern w:val="0"/>
            <w:sz w:val="24"/>
            <w:szCs w:val="24"/>
            <w:lang w:eastAsia="pt-PT"/>
            <w14:ligatures w14:val="none"/>
          </w:rPr>
          <m:t xml:space="preserve"> IDR/kWh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≈0,068</m:t>
        </m:r>
        <m:r>
          <m:rPr>
            <m:nor/>
          </m:rPr>
          <w:rPr>
            <w:rFonts w:eastAsia="Times New Roman" w:cs="Times New Roman"/>
            <w:kern w:val="0"/>
            <w:sz w:val="24"/>
            <w:szCs w:val="24"/>
            <w:lang w:eastAsia="pt-PT"/>
            <w14:ligatures w14:val="none"/>
          </w:rPr>
          <m:t xml:space="preserve"> USD/kWh</m:t>
        </m:r>
      </m:oMath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E22235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Energia não suprida por evento:</w:t>
      </w:r>
    </w:p>
    <w:p w14:paraId="4B47258B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EN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=22,734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MWh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3781A9E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por evento:</w:t>
      </w:r>
    </w:p>
    <w:p w14:paraId="31A1E010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resili</m:t>
              </m:r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ncia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=1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563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USD/evento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A1D964A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14 eventos por ano:</w:t>
      </w:r>
    </w:p>
    <w:p w14:paraId="4C1B4B81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anual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≈21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882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USD/ano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E2C7DA9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Aqui a resiliência passa a ser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número económico mensurável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como defendes na tua tese.</w:t>
      </w:r>
    </w:p>
    <w:p w14:paraId="1BDDA885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A61AC3">
          <v:rect id="_x0000_i1032" style="width:0;height:1.5pt" o:hralign="center" o:hrstd="t" o:hr="t" fillcolor="#a0a0a0" stroked="f"/>
        </w:pict>
      </w:r>
    </w:p>
    <w:p w14:paraId="2196ADEA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Mitigação proposta</w:t>
      </w:r>
    </w:p>
    <w:p w14:paraId="2C9ABB4E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analisam o uso de um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robô de remoção de linhas de pipa em condutores de transmissão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custos: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569"/>
      </w:tblGrid>
      <w:tr w:rsidR="00FA5D83" w:rsidRPr="00FA5D83" w14:paraId="3E13D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07C3F" w14:textId="77777777" w:rsidR="00FA5D83" w:rsidRPr="00FA5D83" w:rsidRDefault="00FA5D83" w:rsidP="00FA5D8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E7B5FB7" w14:textId="77777777" w:rsidR="00FA5D83" w:rsidRPr="00FA5D83" w:rsidRDefault="00FA5D83" w:rsidP="00FA5D8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Custo</w:t>
            </w:r>
          </w:p>
        </w:tc>
      </w:tr>
      <w:tr w:rsidR="00FA5D83" w:rsidRPr="00FA5D83" w14:paraId="228FE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99CC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496AD591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1 515 USD</w:t>
            </w:r>
          </w:p>
        </w:tc>
      </w:tr>
      <w:tr w:rsidR="00FA5D83" w:rsidRPr="00FA5D83" w14:paraId="002AB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33FA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14B1B2F3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5 670 USD/ano</w:t>
            </w:r>
          </w:p>
        </w:tc>
      </w:tr>
      <w:tr w:rsidR="00FA5D83" w:rsidRPr="00FA5D83" w14:paraId="050E3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F725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14:paraId="0A5BF68D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61 300 USD</w:t>
            </w:r>
          </w:p>
        </w:tc>
      </w:tr>
      <w:tr w:rsidR="00FA5D83" w:rsidRPr="00FA5D83" w14:paraId="1FBD7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1C80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Manutenção</w:t>
            </w:r>
          </w:p>
        </w:tc>
        <w:tc>
          <w:tcPr>
            <w:tcW w:w="0" w:type="auto"/>
            <w:vAlign w:val="center"/>
            <w:hideMark/>
          </w:tcPr>
          <w:p w14:paraId="75141D85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2 000 USD/ano</w:t>
            </w:r>
          </w:p>
        </w:tc>
      </w:tr>
      <w:tr w:rsidR="00FA5D83" w:rsidRPr="00FA5D83" w14:paraId="0A151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EC83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73E7437D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1 200 USD/ano</w:t>
            </w:r>
          </w:p>
        </w:tc>
      </w:tr>
    </w:tbl>
    <w:p w14:paraId="65A5E0B6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Conclusão:</w:t>
      </w:r>
    </w:p>
    <w:p w14:paraId="27AA9144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rob</m:t>
              </m:r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</m:t>
                  </m:r>
                </m:e>
              </m:acc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resili</m:t>
              </m:r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ncia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a mitiga</m:t>
          </m:r>
          <m:acc>
            <m:accPr>
              <m:chr m:val="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</m:acc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o 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economicamente justificada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593ADCD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5D7D30">
          <v:rect id="_x0000_i1033" style="width:0;height:1.5pt" o:hralign="center" o:hrstd="t" o:hr="t" fillcolor="#a0a0a0" stroked="f"/>
        </w:pict>
      </w:r>
    </w:p>
    <w:p w14:paraId="1D7F71FC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9) Limitações críticas para a tua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7"/>
        <w:gridCol w:w="4097"/>
      </w:tblGrid>
      <w:tr w:rsidR="00FA5D83" w:rsidRPr="00FA5D83" w14:paraId="4DF8B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4823A" w14:textId="77777777" w:rsidR="00FA5D83" w:rsidRPr="00FA5D83" w:rsidRDefault="00FA5D83" w:rsidP="00FA5D8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Aspeto</w:t>
            </w:r>
          </w:p>
        </w:tc>
        <w:tc>
          <w:tcPr>
            <w:tcW w:w="0" w:type="auto"/>
            <w:vAlign w:val="center"/>
            <w:hideMark/>
          </w:tcPr>
          <w:p w14:paraId="0844AEF6" w14:textId="77777777" w:rsidR="00FA5D83" w:rsidRPr="00FA5D83" w:rsidRDefault="00FA5D83" w:rsidP="00FA5D8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A5D83" w:rsidRPr="00FA5D83" w14:paraId="5F3C5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FADA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da LT</w:t>
            </w:r>
          </w:p>
        </w:tc>
        <w:tc>
          <w:tcPr>
            <w:tcW w:w="0" w:type="auto"/>
            <w:vAlign w:val="center"/>
            <w:hideMark/>
          </w:tcPr>
          <w:p w14:paraId="2B0E50BE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Modelada</w:t>
            </w:r>
            <w:proofErr w:type="gramEnd"/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como curto-circuito</w:t>
            </w:r>
          </w:p>
        </w:tc>
      </w:tr>
      <w:tr w:rsidR="00FA5D83" w:rsidRPr="00FA5D83" w14:paraId="1CE75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C920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4D4A5BE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existe</w:t>
            </w:r>
          </w:p>
        </w:tc>
      </w:tr>
      <w:tr w:rsidR="00FA5D83" w:rsidRPr="00FA5D83" w14:paraId="119AC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3045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mecânica de torres</w:t>
            </w:r>
          </w:p>
        </w:tc>
        <w:tc>
          <w:tcPr>
            <w:tcW w:w="0" w:type="auto"/>
            <w:vAlign w:val="center"/>
            <w:hideMark/>
          </w:tcPr>
          <w:p w14:paraId="07D1AB06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A5D83" w:rsidRPr="00FA5D83" w14:paraId="30A03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C202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Dependência do vento/gelo/incêndio</w:t>
            </w:r>
          </w:p>
        </w:tc>
        <w:tc>
          <w:tcPr>
            <w:tcW w:w="0" w:type="auto"/>
            <w:vAlign w:val="center"/>
            <w:hideMark/>
          </w:tcPr>
          <w:p w14:paraId="5BFDBF49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A5D83" w:rsidRPr="00FA5D83" w14:paraId="5983F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22C4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21948376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A5D83" w:rsidRPr="00FA5D83" w14:paraId="5DFAC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1641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reparo físico dependente do dano</w:t>
            </w:r>
          </w:p>
        </w:tc>
        <w:tc>
          <w:tcPr>
            <w:tcW w:w="0" w:type="auto"/>
            <w:vAlign w:val="center"/>
            <w:hideMark/>
          </w:tcPr>
          <w:p w14:paraId="190488A4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7947CDA5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aqui é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económica-operacional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física-estrutural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A93431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9865D1">
          <v:rect id="_x0000_i1034" style="width:0;height:1.5pt" o:hralign="center" o:hrstd="t" o:hr="t" fillcolor="#a0a0a0" stroked="f"/>
        </w:pict>
      </w:r>
    </w:p>
    <w:p w14:paraId="40442261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10) Aderência ao tema da tua tese</w:t>
      </w:r>
    </w:p>
    <w:p w14:paraId="10E7B045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FA5D8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2191"/>
      </w:tblGrid>
      <w:tr w:rsidR="00FA5D83" w:rsidRPr="00FA5D83" w14:paraId="49EDFA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1F00E" w14:textId="77777777" w:rsidR="00FA5D83" w:rsidRPr="00FA5D83" w:rsidRDefault="00FA5D83" w:rsidP="00FA5D8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F430A45" w14:textId="77777777" w:rsidR="00FA5D83" w:rsidRPr="00FA5D83" w:rsidRDefault="00FA5D83" w:rsidP="00FA5D8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A5D83" w:rsidRPr="00FA5D83" w14:paraId="7EE2C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DC01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em LT</w:t>
            </w:r>
          </w:p>
        </w:tc>
        <w:tc>
          <w:tcPr>
            <w:tcW w:w="0" w:type="auto"/>
            <w:vAlign w:val="center"/>
            <w:hideMark/>
          </w:tcPr>
          <w:p w14:paraId="6E0CDF63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Simplificada</w:t>
            </w:r>
            <w:proofErr w:type="gramEnd"/>
          </w:p>
        </w:tc>
      </w:tr>
      <w:tr w:rsidR="00FA5D83" w:rsidRPr="00FA5D83" w14:paraId="2D437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AA79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quantitativa</w:t>
            </w:r>
          </w:p>
        </w:tc>
        <w:tc>
          <w:tcPr>
            <w:tcW w:w="0" w:type="auto"/>
            <w:vAlign w:val="center"/>
            <w:hideMark/>
          </w:tcPr>
          <w:p w14:paraId="7FDBC5E2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A5D83" w:rsidRPr="00FA5D83" w14:paraId="53FF0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DA64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ENS como métrica</w:t>
            </w:r>
          </w:p>
        </w:tc>
        <w:tc>
          <w:tcPr>
            <w:tcW w:w="0" w:type="auto"/>
            <w:vAlign w:val="center"/>
            <w:hideMark/>
          </w:tcPr>
          <w:p w14:paraId="651AE639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A5D83" w:rsidRPr="00FA5D83" w14:paraId="73F22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5529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577D1096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Fixado</w:t>
            </w:r>
            <w:proofErr w:type="gramEnd"/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, não físico</w:t>
            </w:r>
          </w:p>
        </w:tc>
      </w:tr>
      <w:tr w:rsidR="00FA5D83" w:rsidRPr="00FA5D83" w14:paraId="25C22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9411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climática</w:t>
            </w:r>
          </w:p>
        </w:tc>
        <w:tc>
          <w:tcPr>
            <w:tcW w:w="0" w:type="auto"/>
            <w:vAlign w:val="center"/>
            <w:hideMark/>
          </w:tcPr>
          <w:p w14:paraId="26FF2885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A5D83" w:rsidRPr="00FA5D83" w14:paraId="3E7C6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D3834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físico de resiliência da LT</w:t>
            </w:r>
          </w:p>
        </w:tc>
        <w:tc>
          <w:tcPr>
            <w:tcW w:w="0" w:type="auto"/>
            <w:vAlign w:val="center"/>
            <w:hideMark/>
          </w:tcPr>
          <w:p w14:paraId="0151E9A1" w14:textId="77777777" w:rsidR="00FA5D83" w:rsidRPr="00FA5D83" w:rsidRDefault="00FA5D83" w:rsidP="00FA5D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A5D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452B9095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metodológica: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A5D8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conceptual: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33566B03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86D26D">
          <v:rect id="_x0000_i1035" style="width:0;height:1.5pt" o:hralign="center" o:hrstd="t" o:hr="t" fillcolor="#a0a0a0" stroked="f"/>
        </w:pict>
      </w:r>
    </w:p>
    <w:p w14:paraId="1554257D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11) Utilidade real para a tua tese</w:t>
      </w:r>
    </w:p>
    <w:p w14:paraId="582EE641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muito útil para:</w:t>
      </w:r>
    </w:p>
    <w:p w14:paraId="1A442E26" w14:textId="77777777" w:rsidR="00FA5D83" w:rsidRPr="00FA5D83" w:rsidRDefault="00FA5D83" w:rsidP="00FA5D8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resiliência pode ser definida economicamente;</w:t>
      </w:r>
    </w:p>
    <w:p w14:paraId="44AB15D0" w14:textId="77777777" w:rsidR="00FA5D83" w:rsidRPr="00FA5D83" w:rsidRDefault="00FA5D83" w:rsidP="00FA5D8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métrica de energia não suprida;</w:t>
      </w:r>
    </w:p>
    <w:p w14:paraId="72709444" w14:textId="77777777" w:rsidR="00FA5D83" w:rsidRPr="00FA5D83" w:rsidRDefault="00FA5D83" w:rsidP="00FA5D8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a importância do tempo de recuperação;</w:t>
      </w:r>
    </w:p>
    <w:p w14:paraId="63F4EE63" w14:textId="77777777" w:rsidR="00FA5D83" w:rsidRPr="00FA5D83" w:rsidRDefault="00FA5D83" w:rsidP="00FA5D8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 nem todos os eventos extremos são naturais (há eventos antrópicos).</w:t>
      </w:r>
    </w:p>
    <w:p w14:paraId="466A2534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ele não substitui:</w:t>
      </w:r>
    </w:p>
    <w:p w14:paraId="7122228A" w14:textId="77777777" w:rsidR="00FA5D83" w:rsidRPr="00FA5D83" w:rsidRDefault="00FA5D83" w:rsidP="00FA5D8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necessidade de um modelo físico de falha;</w:t>
      </w:r>
    </w:p>
    <w:p w14:paraId="4594027E" w14:textId="77777777" w:rsidR="00FA5D83" w:rsidRPr="00FA5D83" w:rsidRDefault="00FA5D83" w:rsidP="00FA5D8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construção de um índice estrutural de resiliência das LT.</w:t>
      </w:r>
    </w:p>
    <w:p w14:paraId="5A306713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436EB8">
          <v:rect id="_x0000_i1036" style="width:0;height:1.5pt" o:hralign="center" o:hrstd="t" o:hr="t" fillcolor="#a0a0a0" stroked="f"/>
        </w:pict>
      </w:r>
    </w:p>
    <w:p w14:paraId="0DEF32CD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12) Decisão final</w:t>
      </w:r>
    </w:p>
    <w:p w14:paraId="2C7C8F5B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1946855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FB81DB">
          <v:rect id="_x0000_i1037" style="width:0;height:1.5pt" o:hralign="center" o:hrstd="t" o:hr="t" fillcolor="#a0a0a0" stroked="f"/>
        </w:pict>
      </w:r>
    </w:p>
    <w:p w14:paraId="75734949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13) Classificação resumida (para a tabela)</w:t>
      </w:r>
    </w:p>
    <w:p w14:paraId="62CF6F80" w14:textId="77777777" w:rsidR="00FA5D83" w:rsidRPr="00FA5D83" w:rsidRDefault="00FA5D83" w:rsidP="00FA5D8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AF5769D" w14:textId="77777777" w:rsidR="00FA5D83" w:rsidRPr="00FA5D83" w:rsidRDefault="00FA5D83" w:rsidP="00FA5D8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económica da rede frente a falhas antrópicas em linhas de transmissão</w:t>
      </w:r>
    </w:p>
    <w:p w14:paraId="45D43B34" w14:textId="77777777" w:rsidR="00FA5D83" w:rsidRPr="00FA5D83" w:rsidRDefault="00FA5D83" w:rsidP="00FA5D8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79F00F61" w14:textId="77777777" w:rsidR="00FA5D83" w:rsidRPr="00FA5D83" w:rsidRDefault="00FA5D83" w:rsidP="00FA5D8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98B061C" w14:textId="77777777" w:rsidR="00FA5D83" w:rsidRPr="00FA5D83" w:rsidRDefault="00FA5D83" w:rsidP="00FA5D8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35761C0A" w14:textId="77777777" w:rsidR="00FA5D83" w:rsidRPr="00FA5D83" w:rsidRDefault="00FA5D83" w:rsidP="00FA5D8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0F1E8A7F" w14:textId="77777777" w:rsidR="00FA5D83" w:rsidRPr="00FA5D83" w:rsidRDefault="00FA5D83" w:rsidP="00FA5D8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baseadas em ENS</w:t>
      </w:r>
    </w:p>
    <w:p w14:paraId="21B3DBF7" w14:textId="77777777" w:rsidR="00FA5D83" w:rsidRPr="00FA5D83" w:rsidRDefault="00FA5D83" w:rsidP="00FA5D8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A5D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0C0A648E" w14:textId="77777777" w:rsidR="00FA5D83" w:rsidRPr="00FA5D83" w:rsidRDefault="00FA5D83" w:rsidP="00FA5D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B16F73">
          <v:rect id="_x0000_i1038" style="width:0;height:1.5pt" o:hralign="center" o:hrstd="t" o:hr="t" fillcolor="#a0a0a0" stroked="f"/>
        </w:pict>
      </w:r>
    </w:p>
    <w:p w14:paraId="05C05C8D" w14:textId="77777777" w:rsidR="00FA5D83" w:rsidRPr="00FA5D83" w:rsidRDefault="00FA5D83" w:rsidP="00FA5D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A5D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FA5D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3FAB5335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diz:</w:t>
      </w:r>
    </w:p>
    <w:p w14:paraId="2AA3E4C2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“A resiliência pode ser medida pelo custo da energia que deixamos de fornecer.”</w:t>
      </w:r>
    </w:p>
    <w:p w14:paraId="6C8BAB68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tua tese diz:</w:t>
      </w:r>
    </w:p>
    <w:p w14:paraId="453BB92E" w14:textId="77777777" w:rsidR="00FA5D83" w:rsidRPr="00FA5D83" w:rsidRDefault="00FA5D83" w:rsidP="00FA5D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A5D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“Mas esse custo nasce da falha física das linhas, que precisa ser modelada a partir da mecânica estrutural e do clima.”</w:t>
      </w:r>
    </w:p>
    <w:p w14:paraId="06D8F0F9" w14:textId="77777777" w:rsidR="00611A01" w:rsidRPr="00FA5D83" w:rsidRDefault="00611A01"/>
    <w:sectPr w:rsidR="00611A01" w:rsidRPr="00FA5D8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66B7"/>
    <w:multiLevelType w:val="multilevel"/>
    <w:tmpl w:val="89FE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7F73"/>
    <w:multiLevelType w:val="multilevel"/>
    <w:tmpl w:val="8BEA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D7062"/>
    <w:multiLevelType w:val="multilevel"/>
    <w:tmpl w:val="7D46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758C7"/>
    <w:multiLevelType w:val="multilevel"/>
    <w:tmpl w:val="22E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447F6"/>
    <w:multiLevelType w:val="multilevel"/>
    <w:tmpl w:val="D60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E2732"/>
    <w:multiLevelType w:val="multilevel"/>
    <w:tmpl w:val="BEE2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E54A6"/>
    <w:multiLevelType w:val="multilevel"/>
    <w:tmpl w:val="4DC0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875F7"/>
    <w:multiLevelType w:val="multilevel"/>
    <w:tmpl w:val="B29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E2307"/>
    <w:multiLevelType w:val="multilevel"/>
    <w:tmpl w:val="E144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06F26"/>
    <w:multiLevelType w:val="multilevel"/>
    <w:tmpl w:val="A47E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D2641"/>
    <w:multiLevelType w:val="multilevel"/>
    <w:tmpl w:val="7EF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C1594"/>
    <w:multiLevelType w:val="multilevel"/>
    <w:tmpl w:val="0CA0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928931">
    <w:abstractNumId w:val="8"/>
  </w:num>
  <w:num w:numId="2" w16cid:durableId="2112780557">
    <w:abstractNumId w:val="2"/>
  </w:num>
  <w:num w:numId="3" w16cid:durableId="1600917317">
    <w:abstractNumId w:val="1"/>
  </w:num>
  <w:num w:numId="4" w16cid:durableId="258762793">
    <w:abstractNumId w:val="0"/>
  </w:num>
  <w:num w:numId="5" w16cid:durableId="1719695508">
    <w:abstractNumId w:val="11"/>
  </w:num>
  <w:num w:numId="6" w16cid:durableId="1642806594">
    <w:abstractNumId w:val="3"/>
  </w:num>
  <w:num w:numId="7" w16cid:durableId="1146239662">
    <w:abstractNumId w:val="6"/>
  </w:num>
  <w:num w:numId="8" w16cid:durableId="572545095">
    <w:abstractNumId w:val="10"/>
  </w:num>
  <w:num w:numId="9" w16cid:durableId="1599947742">
    <w:abstractNumId w:val="9"/>
  </w:num>
  <w:num w:numId="10" w16cid:durableId="85543239">
    <w:abstractNumId w:val="4"/>
  </w:num>
  <w:num w:numId="11" w16cid:durableId="786197642">
    <w:abstractNumId w:val="7"/>
  </w:num>
  <w:num w:numId="12" w16cid:durableId="1091589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0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1A01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A5D83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152F9"/>
  <w15:chartTrackingRefBased/>
  <w15:docId w15:val="{257E9477-50FD-47F7-AD24-2C1BF0AC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A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A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A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A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A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A0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A0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A0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A0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A0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11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A0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11A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5D8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A5D83"/>
    <w:rPr>
      <w:b/>
      <w:bCs/>
    </w:rPr>
  </w:style>
  <w:style w:type="character" w:styleId="Emphasis">
    <w:name w:val="Emphasis"/>
    <w:basedOn w:val="DefaultParagraphFont"/>
    <w:uiPriority w:val="20"/>
    <w:qFormat/>
    <w:rsid w:val="00FA5D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1032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2026-01-10T12:13:00Z</dcterms:created>
  <dcterms:modified xsi:type="dcterms:W3CDTF">2026-01-10T12:13:00Z</dcterms:modified>
</cp:coreProperties>
</file>