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7FEB" w14:textId="590E5018" w:rsidR="00AC5231" w:rsidRDefault="00C138BC">
      <w:pPr>
        <w:rPr>
          <w:lang w:val="en-US"/>
        </w:rPr>
      </w:pPr>
      <w:r w:rsidRPr="00C138BC">
        <w:rPr>
          <w:lang w:val="en-US"/>
        </w:rPr>
        <w:t>2022 Trends in modern power systems resilience State-of-the-art review-ELSEVIER</w:t>
      </w:r>
    </w:p>
    <w:p w14:paraId="10527C4E" w14:textId="77777777" w:rsidR="00C138BC" w:rsidRDefault="00C138BC">
      <w:pPr>
        <w:rPr>
          <w:lang w:val="en-US"/>
        </w:rPr>
      </w:pPr>
    </w:p>
    <w:p w14:paraId="2E0D802D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(2022)</w:t>
      </w:r>
    </w:p>
    <w:p w14:paraId="56FAF7D1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138B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Trends in modern power systems resilience: State-of-the-art review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Abdollah Younesi; Hossein Shayeghi; Zongjie Wang; Pierluigi Siano; Ali Mehrizi-Sani; Amin Safari </w:t>
      </w:r>
    </w:p>
    <w:p w14:paraId="7501F2FA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66D349CB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138B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162, art. 112397, Elsevier, 2022 (online 20 Apr. 2022). </w:t>
      </w:r>
    </w:p>
    <w:p w14:paraId="52C2DD04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18A5CE5A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C8DC3C">
          <v:rect id="_x0000_i1025" style="width:0;height:1.5pt" o:hralign="center" o:hrstd="t" o:hr="t" fillcolor="#a0a0a0" stroked="f"/>
        </w:pict>
      </w:r>
    </w:p>
    <w:p w14:paraId="2BEA1BC0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F377269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(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state-of-the-art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sistematiza:</w:t>
      </w:r>
    </w:p>
    <w:p w14:paraId="1D2D01EF" w14:textId="77777777" w:rsidR="00C138BC" w:rsidRPr="00C138BC" w:rsidRDefault="00C138BC" w:rsidP="00C138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conceitos e taxonomias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em sistemas elétricos (diferenças vs. confiabilidade/segurança/contingência);</w:t>
      </w:r>
    </w:p>
    <w:p w14:paraId="62AFF4DB" w14:textId="77777777" w:rsidR="00C138BC" w:rsidRPr="00C138BC" w:rsidRDefault="00C138BC" w:rsidP="00C138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de resiliência (curvas de funcionalidade e índices derivados);</w:t>
      </w:r>
    </w:p>
    <w:p w14:paraId="135156E5" w14:textId="77777777" w:rsidR="00C138BC" w:rsidRPr="00C138BC" w:rsidRDefault="00C138BC" w:rsidP="00C138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melhoria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separadas em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 prazo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(operação</w:t>
      </w:r>
      <w:proofErr w:type="gram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/“</w:t>
      </w:r>
      <w:proofErr w:type="spellStart"/>
      <w:proofErr w:type="gram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resilience-oriented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”) e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longo prazo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upgrades e reconfiguração estrutural);</w:t>
      </w:r>
    </w:p>
    <w:p w14:paraId="327F40CC" w14:textId="77777777" w:rsidR="00C138BC" w:rsidRPr="00C138BC" w:rsidRDefault="00C138BC" w:rsidP="00C138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papel de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tendência dominante para resiliência moderna.</w:t>
      </w:r>
    </w:p>
    <w:p w14:paraId="56E58F06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ancora o problema em eventos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cita exemplos clássicos (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Katrina, Texas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Freeze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2021,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Fukushima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etc.), enfatizando custos e durações de recuperação elevadas.</w:t>
      </w:r>
    </w:p>
    <w:p w14:paraId="3FACCCDF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Ponto-chave para sua tese (muito importante):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autores afirmam que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reduzem a dependência do sistema em linhas de transmissão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descritas como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equipamento mais vulnerável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desastres naturais.</w:t>
      </w:r>
    </w:p>
    <w:p w14:paraId="633C4BDE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embora seja um “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sistêmico, ele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 diretamente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vulnerabilidade estrutural e operacional associada às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motivação técnica.</w:t>
      </w:r>
    </w:p>
    <w:p w14:paraId="1B378115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B5CD87">
          <v:rect id="_x0000_i1026" style="width:0;height:1.5pt" o:hralign="center" o:hrstd="t" o:hr="t" fillcolor="#a0a0a0" stroked="f"/>
        </w:pict>
      </w:r>
    </w:p>
    <w:p w14:paraId="3B5FB8A7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(o que o artigo entrega de “utilizável” na tese)</w:t>
      </w:r>
    </w:p>
    <w:p w14:paraId="623BB715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Definições e “fronteira conceitual” (resiliência vs. outros conceitos)</w:t>
      </w:r>
    </w:p>
    <w:p w14:paraId="27EB875B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discutem que resiliência cobre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características do evento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(tipo/severidade),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outras infraestruturas e uma visão mais ampla do que a confiabilidade tradicional (que tipicamente se limita a N-1/N-2).</w:t>
      </w:r>
    </w:p>
    <w:p w14:paraId="11B48906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compilaram definições institucionais e de engenharia (NIAC,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Cabinet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Office/UK etc.) e sintetizam que, em engenharia, resiliência envolve:</w:t>
      </w:r>
    </w:p>
    <w:p w14:paraId="55F97249" w14:textId="77777777" w:rsidR="00C138BC" w:rsidRPr="00C138BC" w:rsidRDefault="00C138BC" w:rsidP="00C138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suportar/absorver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impacto,</w:t>
      </w:r>
    </w:p>
    <w:p w14:paraId="5DA242D1" w14:textId="77777777" w:rsidR="00C138BC" w:rsidRPr="00C138BC" w:rsidRDefault="00C138BC" w:rsidP="00C138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evento,</w:t>
      </w:r>
    </w:p>
    <w:p w14:paraId="34EA4623" w14:textId="77777777" w:rsidR="00C138BC" w:rsidRPr="00C138BC" w:rsidRDefault="00C138BC" w:rsidP="00C138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eficiência/velocidade de recuperação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916A02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Curva de Funcionalidade do Sistema (SFC) como eixo unificador</w:t>
      </w:r>
    </w:p>
    <w:p w14:paraId="579C9888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adota a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Functionality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 (SFC)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estrutura comum para comparar métricas (Fig. 8).</w:t>
      </w:r>
    </w:p>
    <w:p w14:paraId="2D947006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que é valioso aqui para você: os autores deixam claro que a “funcionalidade”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pode ser definida por variáveis diretamente relacionadas a transmissão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exemplo:</w:t>
      </w:r>
    </w:p>
    <w:p w14:paraId="329A6F1F" w14:textId="77777777" w:rsidR="00C138BC" w:rsidRPr="00C138BC" w:rsidRDefault="00C138BC" w:rsidP="00C138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percentual de cargas supridas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9A5C30A" w14:textId="77777777" w:rsidR="00C138BC" w:rsidRPr="00C138BC" w:rsidRDefault="00C138BC" w:rsidP="00C138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consumidores atendidos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7383B1D" w14:textId="77777777" w:rsidR="00C138BC" w:rsidRPr="00C138BC" w:rsidRDefault="00C138BC" w:rsidP="00C138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percentual de equipamentos ativos como linhas de transmissão aéreas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3409143" w14:textId="77777777" w:rsidR="00C138BC" w:rsidRPr="00C138BC" w:rsidRDefault="00C138BC" w:rsidP="00C138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qualidade elétrica (tensão/frequência) ou combinações. </w:t>
      </w:r>
    </w:p>
    <w:p w14:paraId="3F11AD5A" w14:textId="77777777" w:rsidR="00C138BC" w:rsidRPr="00C138BC" w:rsidRDefault="00C138BC" w:rsidP="00C138B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243432C2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legitima metodologicamente você escolher um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proxy de funcionalidade associado a 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 exemplo, % de LT disponíveis, capacidade transferível, DLR/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conectividade etc.).</w:t>
      </w:r>
    </w:p>
    <w:p w14:paraId="018C06E2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propostas e “mapa comparativo” (Tabela 2)</w:t>
      </w:r>
    </w:p>
    <w:p w14:paraId="73F0CDBC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(p. 9)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peça central: ela lista métricas de resiliência, indicando se consideram confiabilidade, características do evento, estrutura física, compatibilidade, nível de aplicação (DS/TS) e horizonte temporal (curto/longo). </w:t>
      </w:r>
    </w:p>
    <w:p w14:paraId="7811A9FE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58B37506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tese, o valor está em:</w:t>
      </w:r>
    </w:p>
    <w:p w14:paraId="779D5BD7" w14:textId="77777777" w:rsidR="00C138BC" w:rsidRPr="00C138BC" w:rsidRDefault="00C138BC" w:rsidP="00C138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separar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curto prazo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(desempenho em tempo real e restauração) das de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longo prazo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(fragilidade/topologia, planejamento e reforço);</w:t>
      </w:r>
    </w:p>
    <w:p w14:paraId="6AD94030" w14:textId="77777777" w:rsidR="00C138BC" w:rsidRPr="00C138BC" w:rsidRDefault="00C138BC" w:rsidP="00C138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oferecer uma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 pronta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posicionar o seu índice de resiliência de LT (provavelmente com natureza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+ tempo-recuperação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com dependência explícita do evento).</w:t>
      </w:r>
    </w:p>
    <w:p w14:paraId="2B805FA9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Métricas de curto prazo (ex.: FI, REI, MVI, LLI) com fórmulas explícitas</w:t>
      </w:r>
    </w:p>
    <w:p w14:paraId="76E2915C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detalha um conjunto de métricas “short-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term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calculadas a partir da SFC (e de variáveis instantâneas), incluindo:</w:t>
      </w:r>
    </w:p>
    <w:p w14:paraId="6CEF74C0" w14:textId="77777777" w:rsidR="00C138BC" w:rsidRPr="00C138BC" w:rsidRDefault="00C138BC" w:rsidP="00C138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(FI)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mede “capacidade de suportar” o evento via área de degradação relativa na SFC;</w:t>
      </w:r>
    </w:p>
    <w:p w14:paraId="395ECD2E" w14:textId="77777777" w:rsidR="00C138BC" w:rsidRPr="00C138BC" w:rsidRDefault="00C138BC" w:rsidP="00C138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(REI)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mede eficiência/velocidade de recuperação (área de restauração normalizada);</w:t>
      </w:r>
    </w:p>
    <w:p w14:paraId="04F2390D" w14:textId="77777777" w:rsidR="00C138BC" w:rsidRPr="00C138BC" w:rsidRDefault="00C138BC" w:rsidP="00C138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Voltage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(MVI)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mede desvios de tensão acumulados;</w:t>
      </w:r>
    </w:p>
    <w:p w14:paraId="5B836B4E" w14:textId="77777777" w:rsidR="00C138BC" w:rsidRPr="00C138BC" w:rsidRDefault="00C138BC" w:rsidP="00C138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Lost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(LLI)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mede carga perdida.</w:t>
      </w:r>
    </w:p>
    <w:p w14:paraId="5BB88965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apresentam as equações (ex.: FI na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(5) e REI na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(6); MVI na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(7)) e mostram a aplicação numérica em um sistema IEEE 33 barras, usando a SFC como “percentual de carga suprida” (Fig. 16).</w:t>
      </w:r>
    </w:p>
    <w:p w14:paraId="517BBD69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Detalhe prático muito útil: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autores mostram que, ao integrar “medidas de resiliência” no agendamento estocástico (baseado em um trabalho citado [61]), a SFC melhora sensivelmente, elevando os índices de resiliência (interpretação associada à Fig. 16).</w:t>
      </w:r>
    </w:p>
    <w:p w14:paraId="131E3732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Enquadramento operacional “antes/durante/depois” e papel de </w:t>
      </w:r>
      <w:proofErr w:type="spellStart"/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microgrids</w:t>
      </w:r>
      <w:proofErr w:type="spellEnd"/>
    </w:p>
    <w:p w14:paraId="093828AC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resume o processo de resiliência em ações:</w:t>
      </w:r>
    </w:p>
    <w:p w14:paraId="4A7D081B" w14:textId="77777777" w:rsidR="00C138BC" w:rsidRPr="00C138BC" w:rsidRDefault="00C138BC" w:rsidP="00C138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reforço físico de ativos e previsão/antecipação;</w:t>
      </w:r>
    </w:p>
    <w:p w14:paraId="39ACC16F" w14:textId="77777777" w:rsidR="00C138BC" w:rsidRPr="00C138BC" w:rsidRDefault="00C138BC" w:rsidP="00C138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e após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redução de impactos (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controlado, recuperação rápida etc.).</w:t>
      </w:r>
    </w:p>
    <w:p w14:paraId="3385A00F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destacam o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coordenação de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mecanismos para “defender” o sistema e manter cargas sensíveis durante desastres.</w:t>
      </w:r>
    </w:p>
    <w:p w14:paraId="285A2609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A84E5">
          <v:rect id="_x0000_i1027" style="width:0;height:1.5pt" o:hralign="center" o:hrstd="t" o:hr="t" fillcolor="#a0a0a0" stroked="f"/>
        </w:pict>
      </w:r>
    </w:p>
    <w:p w14:paraId="2571DECB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Resultados, figuras e tabelas relevantes (o que você deve citar na tese)</w:t>
      </w:r>
    </w:p>
    <w:p w14:paraId="1C7CDC14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Fig. 8 (p. 8): “</w:t>
      </w:r>
      <w:proofErr w:type="spellStart"/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curve” com impactos de </w:t>
      </w:r>
      <w:proofErr w:type="spellStart"/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microgrids</w:t>
      </w:r>
      <w:proofErr w:type="spellEnd"/>
    </w:p>
    <w:p w14:paraId="7D13A5EE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a curva de resiliência do sistema e indica como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alteram a trajetória de desempenho (melhorando a área/funcionalidade durante o evento). </w:t>
      </w:r>
    </w:p>
    <w:p w14:paraId="75D1A447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06982BB6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Fig. 10 (p. 9): ordem cronológica das ações para lidar com desastres</w:t>
      </w:r>
    </w:p>
    <w:p w14:paraId="16D19899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Um diagrama de processo (pré-evento → evento → restauração) que organiza a lógica operacional de resiliência. Excelente para usar na sua revisão como “pipeline” conceitual. </w:t>
      </w:r>
    </w:p>
    <w:p w14:paraId="01D7D0E5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Trends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modern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F759438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Tabela 2 (p. 9): “Proposed metrics for resilience of the power system”</w:t>
      </w:r>
    </w:p>
    <w:p w14:paraId="6CC3F692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tabela mais citável do artigo para você: ela estrutura a literatura por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vs. cobertura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(evento, físico, nível, horizonte). </w:t>
      </w:r>
    </w:p>
    <w:p w14:paraId="34D721CC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3C38522C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Fig. 14–15 (p. 11) e comparação IEEE vs. </w:t>
      </w:r>
      <w:proofErr w:type="spellStart"/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Iceland</w:t>
      </w:r>
      <w:proofErr w:type="spellEnd"/>
    </w:p>
    <w:p w14:paraId="57B52B43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descreve resultados de simulação (Monte Carlo) e comenta que diferentes métricas podem levar a conclusões distintas (ex.: LOLP vs. EDNS), e que fragilidade baseada em linhas em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influenciada por topologia e extensão geográfica. Isso ajuda você a justificar por que um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precisa ser cuidadosamente definido (para não “inverter conclusões” por métrica). </w:t>
      </w:r>
    </w:p>
    <w:p w14:paraId="5C499BE7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0EEEE2B5" w14:textId="77777777" w:rsidR="00C138BC" w:rsidRPr="00C138BC" w:rsidRDefault="00C138BC" w:rsidP="00C138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Fig. 16 (p. 11): SFC do IEEE 33-bus durante evento extremo</w:t>
      </w:r>
    </w:p>
    <w:p w14:paraId="7D7C01E8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Usada para calcular FI/REI e demonstrar efeito positivo de planejamento/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resiliente.</w:t>
      </w:r>
    </w:p>
    <w:p w14:paraId="19621E6A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E8F84B">
          <v:rect id="_x0000_i1028" style="width:0;height:1.5pt" o:hralign="center" o:hrstd="t" o:hr="t" fillcolor="#a0a0a0" stroked="f"/>
        </w:pict>
      </w:r>
    </w:p>
    <w:p w14:paraId="6435892B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para sua tese (linhas de transmissão)</w:t>
      </w:r>
    </w:p>
    <w:p w14:paraId="74DC2D74" w14:textId="77777777" w:rsidR="00C138BC" w:rsidRPr="00C138BC" w:rsidRDefault="00C138BC" w:rsidP="00C138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falha física de 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mecânica estrutural (torres, condutor, fundação, vento/gelo/incêndio com intensidade → probabilidade) — o “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discute fragilidade em nível alto, mas não entrega um modelo estrutural específico de LT.</w:t>
      </w:r>
    </w:p>
    <w:p w14:paraId="3DC8BE7E" w14:textId="77777777" w:rsidR="00C138BC" w:rsidRPr="00C138BC" w:rsidRDefault="00C138BC" w:rsidP="00C138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peso em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/distribuição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tendência de resiliência, o que pode deslocar o foco de transmissão para “energia descentralizada”. Eles mesmos argumentam que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dependência de LT (vulneráveis), mas isso é mais uma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sistêmica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um modelo de resiliência intrínseca das linhas.</w:t>
      </w:r>
    </w:p>
    <w:p w14:paraId="5940AB48" w14:textId="77777777" w:rsidR="00C138BC" w:rsidRPr="00C138BC" w:rsidRDefault="00C138BC" w:rsidP="00C138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parte quantitativa demonstrativa (IEEE 33-bus) é uma validação de métricas “short-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term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”, mas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é um </w:t>
      </w:r>
      <w:proofErr w:type="spellStart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física de ativos de transmissão.</w:t>
      </w:r>
    </w:p>
    <w:p w14:paraId="20F7DC40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suma: é artigo-pilar para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conceitos/métricas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substitui sua contribuição (índice físico-estrutural específico para LT).</w:t>
      </w:r>
    </w:p>
    <w:p w14:paraId="5FC936B9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8A2A70">
          <v:rect id="_x0000_i1029" style="width:0;height:1.5pt" o:hralign="center" o:hrstd="t" o:hr="t" fillcolor="#a0a0a0" stroked="f"/>
        </w:pict>
      </w:r>
    </w:p>
    <w:p w14:paraId="45454F3E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Aderência ao tema da sua tese</w:t>
      </w:r>
    </w:p>
    <w:p w14:paraId="0EFDD6EB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p w14:paraId="3B2A9D3C" w14:textId="77777777" w:rsidR="00C138BC" w:rsidRPr="00C138BC" w:rsidRDefault="00C138BC" w:rsidP="00C138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forte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em: conceitos, métricas, taxonomia, SFC, separação curto vs. longo prazo, discussão de HILP.</w:t>
      </w:r>
    </w:p>
    <w:p w14:paraId="6CDED28C" w14:textId="77777777" w:rsidR="00C138BC" w:rsidRPr="00C138BC" w:rsidRDefault="00C138BC" w:rsidP="00C138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Direto para 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afirma explicitamente a vulnerabilidade das linhas e a motivação de reduzir dependência nelas via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403733" w14:textId="77777777" w:rsidR="00C138BC" w:rsidRPr="00C138BC" w:rsidRDefault="00C138BC" w:rsidP="00C138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Fraco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em: modelagem física estrutural detalhada de LT e curvas de fragilidade específicas de torres/condutores.</w:t>
      </w:r>
    </w:p>
    <w:p w14:paraId="29928090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 para revisão da literatura e definição de métricas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para modelagem física de LT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5AD067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8AF8AF">
          <v:rect id="_x0000_i1030" style="width:0;height:1.5pt" o:hralign="center" o:hrstd="t" o:hr="t" fillcolor="#a0a0a0" stroked="f"/>
        </w:pict>
      </w:r>
    </w:p>
    <w:p w14:paraId="5AF9F32E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 (onde encaixar e como citar)</w:t>
      </w:r>
    </w:p>
    <w:p w14:paraId="41F31DFA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como:</w:t>
      </w:r>
    </w:p>
    <w:p w14:paraId="26D1D9BC" w14:textId="77777777" w:rsidR="00C138BC" w:rsidRPr="00C138BC" w:rsidRDefault="00C138BC" w:rsidP="00C138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(definições, distinções e requisitos de uma métrica “boa”: abordável, comparável, quantitativa, escalável, considerar incertezas).</w:t>
      </w:r>
    </w:p>
    <w:p w14:paraId="5B9AD9F0" w14:textId="77777777" w:rsidR="00C138BC" w:rsidRPr="00C138BC" w:rsidRDefault="00C138BC" w:rsidP="00C138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sua escolha de uma curva funcionalidade × tempo e a construção de indicadores por “áreas/segmentos” (SFC).</w:t>
      </w:r>
    </w:p>
    <w:p w14:paraId="5EA7A174" w14:textId="77777777" w:rsidR="00C138BC" w:rsidRPr="00C138BC" w:rsidRDefault="00C138BC" w:rsidP="00C138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 de métricas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2) para posicionar o seu índice de LT como:</w:t>
      </w:r>
    </w:p>
    <w:p w14:paraId="5FE9D41A" w14:textId="77777777" w:rsidR="00C138BC" w:rsidRPr="00C138BC" w:rsidRDefault="00C138BC" w:rsidP="00C138B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físico (dependente do evento),</w:t>
      </w:r>
    </w:p>
    <w:p w14:paraId="287AD80B" w14:textId="77777777" w:rsidR="00C138BC" w:rsidRPr="00C138BC" w:rsidRDefault="00C138BC" w:rsidP="00C138B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componente de recuperação,</w:t>
      </w:r>
    </w:p>
    <w:p w14:paraId="0BBED55F" w14:textId="77777777" w:rsidR="00C138BC" w:rsidRPr="00C138BC" w:rsidRDefault="00C138BC" w:rsidP="00C138B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aplicável ao nível “TS/LT”. </w:t>
      </w:r>
    </w:p>
    <w:p w14:paraId="330C59E8" w14:textId="77777777" w:rsidR="00C138BC" w:rsidRPr="00C138BC" w:rsidRDefault="00C138BC" w:rsidP="00C138B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7BE1DC30" w14:textId="77777777" w:rsidR="00C138BC" w:rsidRPr="00C138BC" w:rsidRDefault="00C138BC" w:rsidP="00C138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do problema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transmissão como ponto vulnerável e por que resiliência precisa ser repensada além do N-1/N-2.</w:t>
      </w:r>
    </w:p>
    <w:p w14:paraId="22C92582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731DED">
          <v:rect id="_x0000_i1031" style="width:0;height:1.5pt" o:hralign="center" o:hrstd="t" o:hr="t" fillcolor="#a0a0a0" stroked="f"/>
        </w:pict>
      </w:r>
    </w:p>
    <w:p w14:paraId="19B0C0AC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2CDC5529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NÚCLEO – revisão e fundamentos de métricas)</w:t>
      </w:r>
    </w:p>
    <w:p w14:paraId="1BBBD519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FEAD356" w14:textId="77777777" w:rsidR="00C138BC" w:rsidRPr="00C138BC" w:rsidRDefault="00C138BC" w:rsidP="00C138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o arcabouço de definições e critérios para métricas;</w:t>
      </w:r>
    </w:p>
    <w:p w14:paraId="3EBA4702" w14:textId="77777777" w:rsidR="00C138BC" w:rsidRPr="00C138BC" w:rsidRDefault="00C138BC" w:rsidP="00C138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compila e compara métricas em tabela consolidada;</w:t>
      </w:r>
    </w:p>
    <w:p w14:paraId="0B42FD7C" w14:textId="77777777" w:rsidR="00C138BC" w:rsidRPr="00C138BC" w:rsidRDefault="00C138BC" w:rsidP="00C138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 a narrativa de que LT são vulneráveis em desastres e que resiliência moderna precisa de abordagens quantitativas e </w:t>
      </w:r>
      <w:proofErr w:type="spellStart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multiescala</w:t>
      </w:r>
      <w:proofErr w:type="spellEnd"/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0324C9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04FEA75">
          <v:rect id="_x0000_i1032" style="width:0;height:1.5pt" o:hralign="center" o:hrstd="t" o:hr="t" fillcolor="#a0a0a0" stroked="f"/>
        </w:pict>
      </w:r>
    </w:p>
    <w:p w14:paraId="27A70957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4E1E0BAC" w14:textId="77777777" w:rsidR="00C138BC" w:rsidRPr="00C138BC" w:rsidRDefault="00C138BC" w:rsidP="00C138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1B2A0BF" w14:textId="77777777" w:rsidR="00C138BC" w:rsidRPr="00C138BC" w:rsidRDefault="00C138BC" w:rsidP="00C138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do estado da arte: definições, métricas (SFC) e estratégias (curto/longo prazo) para resiliência em sistemas elétricos modernos</w:t>
      </w:r>
    </w:p>
    <w:p w14:paraId="6CCDA25D" w14:textId="77777777" w:rsidR="00C138BC" w:rsidRPr="00C138BC" w:rsidRDefault="00C138BC" w:rsidP="00C138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7DAC80B" w14:textId="77777777" w:rsidR="00C138BC" w:rsidRPr="00C138BC" w:rsidRDefault="00C138BC" w:rsidP="00C138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Resiliência dos sistemas elétricos; Metodologia adotada; Lacuna encontrada</w:t>
      </w:r>
    </w:p>
    <w:p w14:paraId="0F390406" w14:textId="77777777" w:rsidR="00C138BC" w:rsidRPr="00C138BC" w:rsidRDefault="00C138BC" w:rsidP="00C138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138B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195C0C3C" w14:textId="77777777" w:rsidR="00C138BC" w:rsidRPr="00C138BC" w:rsidRDefault="00C138BC" w:rsidP="00C138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E270C7">
          <v:rect id="_x0000_i1033" style="width:0;height:1.5pt" o:hralign="center" o:hrstd="t" o:hr="t" fillcolor="#a0a0a0" stroked="f"/>
        </w:pict>
      </w:r>
    </w:p>
    <w:p w14:paraId="7B4E1A28" w14:textId="77777777" w:rsidR="00C138BC" w:rsidRPr="00C138BC" w:rsidRDefault="00C138BC" w:rsidP="00C138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38B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em padrão IEEE (para sua bibliografia)</w:t>
      </w:r>
    </w:p>
    <w:p w14:paraId="7E4E71DB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A. Younesi, H. Shayeghi, Z. Wang, P. Siano, A. Mehrizi-Sani, and A. Safari, “Trends in modern power systems resilience: State-of-the-art review,” </w:t>
      </w:r>
      <w:r w:rsidRPr="00C138B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162, art. 112397, 2022, doi: 10.1016/j.rser.2022.112397. </w:t>
      </w:r>
    </w:p>
    <w:p w14:paraId="2272CC2E" w14:textId="77777777" w:rsidR="00C138BC" w:rsidRPr="00C138BC" w:rsidRDefault="00C138BC" w:rsidP="00C138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38B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Trends in modern power sys…</w:t>
      </w:r>
    </w:p>
    <w:p w14:paraId="4BA4B4C3" w14:textId="77777777" w:rsidR="00C138BC" w:rsidRPr="00C138BC" w:rsidRDefault="00C138BC">
      <w:pPr>
        <w:rPr>
          <w:lang w:val="en-US"/>
        </w:rPr>
      </w:pPr>
    </w:p>
    <w:sectPr w:rsidR="00C138BC" w:rsidRPr="00C138B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B6D"/>
    <w:multiLevelType w:val="multilevel"/>
    <w:tmpl w:val="9A8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29E4"/>
    <w:multiLevelType w:val="multilevel"/>
    <w:tmpl w:val="89A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85DCE"/>
    <w:multiLevelType w:val="multilevel"/>
    <w:tmpl w:val="046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46A8C"/>
    <w:multiLevelType w:val="multilevel"/>
    <w:tmpl w:val="A01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0718"/>
    <w:multiLevelType w:val="multilevel"/>
    <w:tmpl w:val="C5A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7284F"/>
    <w:multiLevelType w:val="multilevel"/>
    <w:tmpl w:val="3A6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626AD"/>
    <w:multiLevelType w:val="multilevel"/>
    <w:tmpl w:val="07F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278D7"/>
    <w:multiLevelType w:val="multilevel"/>
    <w:tmpl w:val="51F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D0453"/>
    <w:multiLevelType w:val="multilevel"/>
    <w:tmpl w:val="017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76756"/>
    <w:multiLevelType w:val="multilevel"/>
    <w:tmpl w:val="4E9E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81C8C"/>
    <w:multiLevelType w:val="multilevel"/>
    <w:tmpl w:val="AFC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17684">
    <w:abstractNumId w:val="4"/>
  </w:num>
  <w:num w:numId="2" w16cid:durableId="208959196">
    <w:abstractNumId w:val="8"/>
  </w:num>
  <w:num w:numId="3" w16cid:durableId="381681789">
    <w:abstractNumId w:val="1"/>
  </w:num>
  <w:num w:numId="4" w16cid:durableId="1728382876">
    <w:abstractNumId w:val="10"/>
  </w:num>
  <w:num w:numId="5" w16cid:durableId="1440177916">
    <w:abstractNumId w:val="2"/>
  </w:num>
  <w:num w:numId="6" w16cid:durableId="325205277">
    <w:abstractNumId w:val="3"/>
  </w:num>
  <w:num w:numId="7" w16cid:durableId="100154206">
    <w:abstractNumId w:val="7"/>
  </w:num>
  <w:num w:numId="8" w16cid:durableId="2023043246">
    <w:abstractNumId w:val="6"/>
  </w:num>
  <w:num w:numId="9" w16cid:durableId="1370452806">
    <w:abstractNumId w:val="9"/>
  </w:num>
  <w:num w:numId="10" w16cid:durableId="1255627262">
    <w:abstractNumId w:val="0"/>
  </w:num>
  <w:num w:numId="11" w16cid:durableId="1271864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B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38BC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8C32"/>
  <w15:chartTrackingRefBased/>
  <w15:docId w15:val="{AA9B6D02-5028-42CE-BA4C-A29A48DD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B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B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B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B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B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1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B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13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8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138BC"/>
    <w:rPr>
      <w:b/>
      <w:bCs/>
    </w:rPr>
  </w:style>
  <w:style w:type="character" w:styleId="Emphasis">
    <w:name w:val="Emphasis"/>
    <w:basedOn w:val="DefaultParagraphFont"/>
    <w:uiPriority w:val="20"/>
    <w:qFormat/>
    <w:rsid w:val="00C138BC"/>
    <w:rPr>
      <w:i/>
      <w:iCs/>
    </w:rPr>
  </w:style>
  <w:style w:type="character" w:customStyle="1" w:styleId="relative">
    <w:name w:val="relative"/>
    <w:basedOn w:val="DefaultParagraphFont"/>
    <w:rsid w:val="00C138BC"/>
  </w:style>
  <w:style w:type="paragraph" w:customStyle="1" w:styleId="not-prose">
    <w:name w:val="not-prose"/>
    <w:basedOn w:val="Normal"/>
    <w:rsid w:val="00C138B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1530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2026-01-10T12:18:00Z</dcterms:created>
  <dcterms:modified xsi:type="dcterms:W3CDTF">2026-01-10T12:19:00Z</dcterms:modified>
</cp:coreProperties>
</file>