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815E" w14:textId="1F84C4A8" w:rsidR="00AC5231" w:rsidRDefault="00D1113E">
      <w:pPr>
        <w:rPr>
          <w:lang w:val="en-US"/>
        </w:rPr>
      </w:pPr>
      <w:r w:rsidRPr="00D1113E">
        <w:rPr>
          <w:lang w:val="en-US"/>
        </w:rPr>
        <w:t>2023 Transmission Expansion Planning for Renewable-energy-dominated Power Grids Considering Climate Impact-IEEE</w:t>
      </w:r>
    </w:p>
    <w:p w14:paraId="2112E38C" w14:textId="77777777" w:rsidR="00D1113E" w:rsidRDefault="00D1113E">
      <w:pPr>
        <w:rPr>
          <w:lang w:val="en-US"/>
        </w:rPr>
      </w:pPr>
    </w:p>
    <w:p w14:paraId="484AD3DE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(2023)</w:t>
      </w:r>
      <w:r w:rsidRPr="0069128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69128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9128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Transmission Expansion Planning for Renewable-energy-dominated Power Grids Considering Climate Impact</w:t>
      </w:r>
      <w:r w:rsidRPr="0069128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69128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Jin Lu; Xingpeng Li (corresponding author)</w:t>
      </w:r>
      <w:r w:rsidRPr="0069128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9128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(manuscrito recebido 15/12/2023; revisado 22/03/2024; aceito 26/06/2024 – conforme front matter do PDF) </w:t>
      </w:r>
    </w:p>
    <w:p w14:paraId="79AEBEDA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FDCB991" w14:textId="77777777" w:rsidR="00691289" w:rsidRPr="00691289" w:rsidRDefault="00691289" w:rsidP="006912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447CD1">
          <v:rect id="_x0000_i1025" style="width:0;height:1.5pt" o:hralign="center" o:hrstd="t" o:hr="t" fillcolor="#a0a0a0" stroked="f"/>
        </w:pict>
      </w:r>
    </w:p>
    <w:p w14:paraId="11C7B9A2" w14:textId="77777777" w:rsidR="00691289" w:rsidRPr="00691289" w:rsidRDefault="00691289" w:rsidP="006912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6293A0B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procedimento sistemático de </w:t>
      </w:r>
      <w:proofErr w:type="spellStart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considerando impacto climático (TEP-CI)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redes com alta penetração de renováveis, onde clima/tempo afetam simultaneamente:</w:t>
      </w:r>
    </w:p>
    <w:p w14:paraId="66A488B1" w14:textId="77777777" w:rsidR="00691289" w:rsidRPr="00691289" w:rsidRDefault="00691289" w:rsidP="006912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produção renovável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(vento/solar), e</w:t>
      </w:r>
    </w:p>
    <w:p w14:paraId="511CE031" w14:textId="77777777" w:rsidR="00691289" w:rsidRPr="00691289" w:rsidRDefault="00691289" w:rsidP="006912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transferência das linhas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proofErr w:type="spellStart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 (DLR)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D1953C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contribuição central não é “resiliência física de torres/condutores”, e sim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+ operação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manter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confiabilidade/adequação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futuros com clima alterado, usando:</w:t>
      </w:r>
    </w:p>
    <w:p w14:paraId="12570C0C" w14:textId="77777777" w:rsidR="00691289" w:rsidRPr="00691289" w:rsidRDefault="00691289" w:rsidP="006912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criação de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perfis climáticos </w:t>
      </w:r>
      <w:proofErr w:type="spellStart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espaço-temporais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(2020–2050) para o sistema sintético Texas TX-123BT;</w:t>
      </w:r>
    </w:p>
    <w:p w14:paraId="3075D564" w14:textId="77777777" w:rsidR="00691289" w:rsidRPr="00691289" w:rsidRDefault="00691289" w:rsidP="006912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TEP-CI (MILP);</w:t>
      </w:r>
    </w:p>
    <w:p w14:paraId="33883D8A" w14:textId="77777777" w:rsidR="00691289" w:rsidRPr="00691289" w:rsidRDefault="00691289" w:rsidP="006912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SCUC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adaptado ao clima para simular operação;</w:t>
      </w:r>
    </w:p>
    <w:p w14:paraId="0CAD934E" w14:textId="77777777" w:rsidR="00691289" w:rsidRPr="00691289" w:rsidRDefault="00691289" w:rsidP="006912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por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confiabilidade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LOLP, LOLE e EUE.</w:t>
      </w:r>
    </w:p>
    <w:p w14:paraId="79F8C557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real: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expansão de transmissão “</w:t>
      </w:r>
      <w:proofErr w:type="spellStart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climate-aware</w:t>
      </w:r>
      <w:proofErr w:type="spellEnd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 para suportar variabilidade renovável e DLR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avaliação de confiabilidade de longo prazo.</w:t>
      </w:r>
    </w:p>
    <w:p w14:paraId="57B788AD" w14:textId="77777777" w:rsidR="00691289" w:rsidRPr="00691289" w:rsidRDefault="00691289" w:rsidP="006912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752E9F">
          <v:rect id="_x0000_i1026" style="width:0;height:1.5pt" o:hralign="center" o:hrstd="t" o:hr="t" fillcolor="#a0a0a0" stroked="f"/>
        </w:pict>
      </w:r>
    </w:p>
    <w:p w14:paraId="3703283E" w14:textId="77777777" w:rsidR="00691289" w:rsidRPr="00691289" w:rsidRDefault="00691289" w:rsidP="006912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(relevantes, mas no eixo planejamento/operacional)</w:t>
      </w:r>
    </w:p>
    <w:p w14:paraId="0F2BB2BC" w14:textId="77777777" w:rsidR="00691289" w:rsidRPr="00691289" w:rsidRDefault="00691289" w:rsidP="006912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</w:t>
      </w:r>
      <w:proofErr w:type="spellStart"/>
      <w:r w:rsidRPr="006912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Dataset</w:t>
      </w:r>
      <w:proofErr w:type="spellEnd"/>
      <w:r w:rsidRPr="006912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climático </w:t>
      </w:r>
      <w:proofErr w:type="spellStart"/>
      <w:r w:rsidRPr="006912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espaço-temporal</w:t>
      </w:r>
      <w:proofErr w:type="spellEnd"/>
      <w:r w:rsidRPr="006912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(TX-123BT, 3 h, 2020–2050)</w:t>
      </w:r>
    </w:p>
    <w:p w14:paraId="1A749278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cria perfis futuros (3-hour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resolution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para: vento, radiação solar e temperatura, a partir de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CMIP6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RCP 8.5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compara coerência com dados históricos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NLDAS-2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comparação de temperatura mostrada na Fig. 2).</w:t>
      </w:r>
    </w:p>
    <w:p w14:paraId="0523B39B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Esses dados alimentam:</w:t>
      </w:r>
    </w:p>
    <w:p w14:paraId="45ADE2A7" w14:textId="77777777" w:rsidR="00691289" w:rsidRPr="00691289" w:rsidRDefault="00691289" w:rsidP="0069128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perfis de produção eólica/solar,</w:t>
      </w:r>
    </w:p>
    <w:p w14:paraId="3ADCF3FD" w14:textId="77777777" w:rsidR="00691289" w:rsidRPr="00691289" w:rsidRDefault="00691289" w:rsidP="0069128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perfis de DLR por linha,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todos por localização de ativos (nível de “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facility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”).</w:t>
      </w:r>
    </w:p>
    <w:p w14:paraId="49890A26" w14:textId="77777777" w:rsidR="00691289" w:rsidRPr="00691289" w:rsidRDefault="00691289" w:rsidP="006912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DLR incorporado como variável temporal no planejamento</w:t>
      </w:r>
    </w:p>
    <w:p w14:paraId="29573A75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TEP-CI altera o modelo TEP clássico para incluir: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i) limites de fluxo por hora com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rating dinâmico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ii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limites de recurso renovável disponível;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iii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balanço nodal com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perfis dependentes do clima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(carga + renováveis).</w:t>
      </w:r>
    </w:p>
    <w:p w14:paraId="126A6E80" w14:textId="77777777" w:rsidR="00691289" w:rsidRPr="00691289" w:rsidRDefault="00691289" w:rsidP="006912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planejamento-operação: SCUC + índices LOLP/LOLE/EUE</w:t>
      </w:r>
    </w:p>
    <w:p w14:paraId="181DEFBB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Após obter o plano de investimento, o artigo roda um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SCUC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“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climate-impacted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e calcula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LOLP, LOLE, EUE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confiabilidade em períodos futuros.</w:t>
      </w:r>
    </w:p>
    <w:p w14:paraId="4F829A7F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texto destaca que, em 2041–2045 e 2046–2050, investimentos de transmissão planejados pelo TEP-CI reduzem fortemente esses índices; observa-se, porém, que o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LOLE reduz menos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LOLP/EUE em 2046–2050, sugerindo que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duração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eventos de corte pode permanecer elevada mesmo quando a severidade diminui. </w:t>
      </w:r>
    </w:p>
    <w:p w14:paraId="606DD180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00B13C2" w14:textId="77777777" w:rsidR="00691289" w:rsidRPr="00691289" w:rsidRDefault="00691289" w:rsidP="006912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de investimento (ordem de grandeza)</w:t>
      </w:r>
    </w:p>
    <w:p w14:paraId="7401E7C5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Exemplo (FR 2021–2035): o TEP-CI encontra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 novas linhas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custo de investimento ≈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US$ 3,02B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~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2,94%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custo total do período (Tabela I e texto). </w:t>
      </w:r>
    </w:p>
    <w:p w14:paraId="082558CC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BCC30B3" w14:textId="77777777" w:rsidR="00691289" w:rsidRPr="00691289" w:rsidRDefault="00691289" w:rsidP="006912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8A7BA8">
          <v:rect id="_x0000_i1027" style="width:0;height:1.5pt" o:hralign="center" o:hrstd="t" o:hr="t" fillcolor="#a0a0a0" stroked="f"/>
        </w:pict>
      </w:r>
    </w:p>
    <w:p w14:paraId="03750B69" w14:textId="77777777" w:rsidR="00691289" w:rsidRPr="00691289" w:rsidRDefault="00691289" w:rsidP="006912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(Resiliência física de LT)</w:t>
      </w:r>
    </w:p>
    <w:p w14:paraId="3C438074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04A3BCA8" w14:textId="77777777" w:rsidR="00691289" w:rsidRPr="00691289" w:rsidRDefault="00691289" w:rsidP="0069128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entra como “perfil operacional”, não como “mecanismo de falha física”</w:t>
      </w:r>
    </w:p>
    <w:p w14:paraId="18893CB2" w14:textId="77777777" w:rsidR="00691289" w:rsidRPr="00691289" w:rsidRDefault="00691289" w:rsidP="006912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trata clima → (renováveis + rating térmico),</w:t>
      </w:r>
    </w:p>
    <w:p w14:paraId="63EA2CF6" w14:textId="77777777" w:rsidR="00691289" w:rsidRPr="00691289" w:rsidRDefault="00691289" w:rsidP="006912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 clima extremo → dano estrutural (torre/condutor/fundação) → indisponibilidade por colapso.</w:t>
      </w:r>
    </w:p>
    <w:p w14:paraId="29CBD154" w14:textId="77777777" w:rsidR="00691289" w:rsidRPr="00691289" w:rsidRDefault="00691289" w:rsidP="0069128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fragilidade estrutural de LT</w:t>
      </w:r>
    </w:p>
    <w:p w14:paraId="0B2A55F1" w14:textId="77777777" w:rsidR="00691289" w:rsidRPr="00691289" w:rsidRDefault="00691289" w:rsidP="006912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há curvas de fragilidade mecânica (vento, gelo,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downburst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incêndio) para LT,</w:t>
      </w:r>
    </w:p>
    <w:p w14:paraId="722FAA88" w14:textId="77777777" w:rsidR="00691289" w:rsidRPr="00691289" w:rsidRDefault="00691289" w:rsidP="006912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modelagem de falhas por TD/WYF,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etc.</w:t>
      </w:r>
    </w:p>
    <w:p w14:paraId="29AE1526" w14:textId="77777777" w:rsidR="00691289" w:rsidRPr="00691289" w:rsidRDefault="00691289" w:rsidP="006912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modelada como curva desempenho × tempo de recuperação física</w:t>
      </w:r>
    </w:p>
    <w:p w14:paraId="166E2275" w14:textId="77777777" w:rsidR="00691289" w:rsidRPr="00691289" w:rsidRDefault="00691289" w:rsidP="0069128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avaliação por índices de confiabilidade (LOLP/LOLE/EUE) e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A2C9934" w14:textId="77777777" w:rsidR="00691289" w:rsidRPr="00691289" w:rsidRDefault="00691289" w:rsidP="0069128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há logística de reparo, tempo de reposição de torres/condutores, nem trajetória de recuperação do ativo.</w:t>
      </w:r>
    </w:p>
    <w:p w14:paraId="3BFE2A4C" w14:textId="77777777" w:rsidR="00691289" w:rsidRPr="00691289" w:rsidRDefault="00691289" w:rsidP="0069128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Dependência forte de cenário climático e </w:t>
      </w:r>
      <w:proofErr w:type="spellStart"/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forecasts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próprio texto reconhece que a confiabilidade das previsões depende do modelo climático (CMIP6/RCP 8.5) e de dados geográficos detalhados em nível de ativos.</w:t>
      </w:r>
    </w:p>
    <w:p w14:paraId="20A96740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núcleo da sua tese, ele é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planejamento/clima-operação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“resiliência física de LT sob eventos extremos”.</w:t>
      </w:r>
    </w:p>
    <w:p w14:paraId="1DEABA39" w14:textId="77777777" w:rsidR="00691289" w:rsidRPr="00691289" w:rsidRDefault="00691289" w:rsidP="006912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B6931B">
          <v:rect id="_x0000_i1028" style="width:0;height:1.5pt" o:hralign="center" o:hrstd="t" o:hr="t" fillcolor="#a0a0a0" stroked="f"/>
        </w:pict>
      </w:r>
    </w:p>
    <w:p w14:paraId="50F6EA7B" w14:textId="77777777" w:rsidR="00691289" w:rsidRPr="00691289" w:rsidRDefault="00691289" w:rsidP="006912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4350"/>
      </w:tblGrid>
      <w:tr w:rsidR="00691289" w:rsidRPr="00691289" w14:paraId="0E02F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E5F5B" w14:textId="77777777" w:rsidR="00691289" w:rsidRPr="00691289" w:rsidRDefault="00691289" w:rsidP="0069128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FECE467" w14:textId="77777777" w:rsidR="00691289" w:rsidRPr="00691289" w:rsidRDefault="00691289" w:rsidP="0069128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91289" w:rsidRPr="00691289" w14:paraId="7AF20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7897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5E4F0AD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(planejamento de expansão + capacidade)</w:t>
            </w:r>
          </w:p>
        </w:tc>
      </w:tr>
      <w:tr w:rsidR="00691289" w:rsidRPr="00691289" w14:paraId="78E31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DA46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Clima/meteorologia</w:t>
            </w:r>
          </w:p>
        </w:tc>
        <w:tc>
          <w:tcPr>
            <w:tcW w:w="0" w:type="auto"/>
            <w:vAlign w:val="center"/>
            <w:hideMark/>
          </w:tcPr>
          <w:p w14:paraId="11A16D19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(CMIP6; vento/temperatura/radiação)</w:t>
            </w:r>
          </w:p>
        </w:tc>
      </w:tr>
      <w:tr w:rsidR="00691289" w:rsidRPr="00691289" w14:paraId="0A56B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BE29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em LT (capacidade térmica / DLR)</w:t>
            </w:r>
          </w:p>
        </w:tc>
        <w:tc>
          <w:tcPr>
            <w:tcW w:w="0" w:type="auto"/>
            <w:vAlign w:val="center"/>
            <w:hideMark/>
          </w:tcPr>
          <w:p w14:paraId="695C05C8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91289" w:rsidRPr="00691289" w14:paraId="1CA7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DAF4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 por extremos</w:t>
            </w:r>
          </w:p>
        </w:tc>
        <w:tc>
          <w:tcPr>
            <w:tcW w:w="0" w:type="auto"/>
            <w:vAlign w:val="center"/>
            <w:hideMark/>
          </w:tcPr>
          <w:p w14:paraId="2DCC961D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91289" w:rsidRPr="00691289" w14:paraId="78CE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0FBD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3A76C0C5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91289" w:rsidRPr="00691289" w14:paraId="44516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EFD5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/ curva de recuperação</w:t>
            </w:r>
          </w:p>
        </w:tc>
        <w:tc>
          <w:tcPr>
            <w:tcW w:w="0" w:type="auto"/>
            <w:vAlign w:val="center"/>
            <w:hideMark/>
          </w:tcPr>
          <w:p w14:paraId="55F57334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91289" w:rsidRPr="00691289" w14:paraId="36B48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12DC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operacional/adequação de sistema</w:t>
            </w:r>
          </w:p>
        </w:tc>
        <w:tc>
          <w:tcPr>
            <w:tcW w:w="0" w:type="auto"/>
            <w:vAlign w:val="center"/>
            <w:hideMark/>
          </w:tcPr>
          <w:p w14:paraId="1BCA3088" w14:textId="77777777" w:rsidR="00691289" w:rsidRPr="00691289" w:rsidRDefault="00691289" w:rsidP="006912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12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63DFC12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“Resiliência física das Linhas de Transmissão”: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912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ao eixo “planejamento de transmissão sob clima + confiabilidade”: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52FC11B5" w14:textId="77777777" w:rsidR="00691289" w:rsidRPr="00691289" w:rsidRDefault="00691289" w:rsidP="006912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3639B1">
          <v:rect id="_x0000_i1029" style="width:0;height:1.5pt" o:hralign="center" o:hrstd="t" o:hr="t" fillcolor="#a0a0a0" stroked="f"/>
        </w:pict>
      </w:r>
    </w:p>
    <w:p w14:paraId="2B403E6C" w14:textId="77777777" w:rsidR="00691289" w:rsidRPr="00691289" w:rsidRDefault="00691289" w:rsidP="006912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AA77DC3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útil para você em 3 frentes bem específicas:</w:t>
      </w:r>
    </w:p>
    <w:p w14:paraId="66909B72" w14:textId="77777777" w:rsidR="00691289" w:rsidRPr="00691289" w:rsidRDefault="00691289" w:rsidP="0069128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técnico-metodológica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mostrar que “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climate-aware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já está entrando em TEP via perfis renováveis + DLR (um tipo de adaptação climática da transmissão).</w:t>
      </w:r>
    </w:p>
    <w:p w14:paraId="54A85D0C" w14:textId="77777777" w:rsidR="00691289" w:rsidRPr="00691289" w:rsidRDefault="00691289" w:rsidP="0069128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Lacuna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(para você explorar): o artigo melhora TEP, mas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física do ativo (fragilidade mecânica e recuperação) — excelente para você contrastar e justificar seu índice físico-temporal.</w:t>
      </w:r>
    </w:p>
    <w:p w14:paraId="5A068022" w14:textId="77777777" w:rsidR="00691289" w:rsidRPr="00691289" w:rsidRDefault="00691289" w:rsidP="0069128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de avaliação sistêmica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uso de SCUC e LOLP/LOLE/EUE como ponte entre planejamento e confiabilidade no horizonte longo.</w:t>
      </w:r>
    </w:p>
    <w:p w14:paraId="466E6BF9" w14:textId="77777777" w:rsidR="00691289" w:rsidRPr="00691289" w:rsidRDefault="00691289" w:rsidP="006912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500EB3">
          <v:rect id="_x0000_i1030" style="width:0;height:1.5pt" o:hralign="center" o:hrstd="t" o:hr="t" fillcolor="#a0a0a0" stroked="f"/>
        </w:pict>
      </w:r>
    </w:p>
    <w:p w14:paraId="1530FE36" w14:textId="77777777" w:rsidR="00691289" w:rsidRPr="00691289" w:rsidRDefault="00691289" w:rsidP="006912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3950D6D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suporte de contextualização/metodologia, não como pilar físico da tese)</w:t>
      </w:r>
    </w:p>
    <w:p w14:paraId="5830BDBA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60EB6C13" w14:textId="77777777" w:rsidR="00691289" w:rsidRPr="00691289" w:rsidRDefault="00691289" w:rsidP="0069128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diretamente sobre transmissão e clima;</w:t>
      </w:r>
    </w:p>
    <w:p w14:paraId="429DF722" w14:textId="77777777" w:rsidR="00691289" w:rsidRPr="00691289" w:rsidRDefault="00691289" w:rsidP="0069128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uma linha de pesquisa relevante (“TEP-CI”);</w:t>
      </w:r>
    </w:p>
    <w:p w14:paraId="411EB236" w14:textId="77777777" w:rsidR="00691289" w:rsidRPr="00691289" w:rsidRDefault="00691289" w:rsidP="0069128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entrega o que é central no seu doutoramento (fragilidade estrutural + recuperação física das LT).</w:t>
      </w:r>
    </w:p>
    <w:p w14:paraId="51A799CF" w14:textId="77777777" w:rsidR="00691289" w:rsidRPr="00691289" w:rsidRDefault="00691289" w:rsidP="006912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50A2E0">
          <v:rect id="_x0000_i1031" style="width:0;height:1.5pt" o:hralign="center" o:hrstd="t" o:hr="t" fillcolor="#a0a0a0" stroked="f"/>
        </w:pict>
      </w:r>
    </w:p>
    <w:p w14:paraId="25C46C06" w14:textId="77777777" w:rsidR="00691289" w:rsidRPr="00691289" w:rsidRDefault="00691289" w:rsidP="006912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B70E324" w14:textId="77777777" w:rsidR="00691289" w:rsidRPr="00691289" w:rsidRDefault="00691289" w:rsidP="0069128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4C6C86D" w14:textId="77777777" w:rsidR="00691289" w:rsidRPr="00691289" w:rsidRDefault="00691289" w:rsidP="0069128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TEP “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climate-aware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para redes dominadas por renováveis, incorporando DLR e perfis climáticos (CMIP6) + avaliação por SCUC e índices LOLP/LOLE/EUE</w:t>
      </w:r>
    </w:p>
    <w:p w14:paraId="4903CA40" w14:textId="77777777" w:rsidR="00691289" w:rsidRPr="00691289" w:rsidRDefault="00691289" w:rsidP="0069128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3172CC1F" w14:textId="77777777" w:rsidR="00691289" w:rsidRPr="00691289" w:rsidRDefault="00691289" w:rsidP="0069128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Contextualização; Revisão da literatura; Metodologia adotada; Lacuna encontrada</w:t>
      </w:r>
    </w:p>
    <w:p w14:paraId="1C0D970F" w14:textId="77777777" w:rsidR="00691289" w:rsidRPr="00691289" w:rsidRDefault="00691289" w:rsidP="0069128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912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5068CD1A" w14:textId="77777777" w:rsidR="00691289" w:rsidRPr="00691289" w:rsidRDefault="00691289" w:rsidP="006912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85278C">
          <v:rect id="_x0000_i1032" style="width:0;height:1.5pt" o:hralign="center" o:hrstd="t" o:hr="t" fillcolor="#a0a0a0" stroked="f"/>
        </w:pict>
      </w:r>
    </w:p>
    <w:p w14:paraId="5F913031" w14:textId="77777777" w:rsidR="00691289" w:rsidRPr="00691289" w:rsidRDefault="00691289" w:rsidP="006912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691289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(IEEE)</w:t>
      </w:r>
    </w:p>
    <w:p w14:paraId="5FF2A828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J. Lu and X. Li, “Transmission Expansion Planning for Renewable-energy-dominated Power Grids Considering Climate Impact,” IEEE, 2023 (aceito em 2024), TX-123BT/TEP-CI/SCUC/LOLP-LOLE-EUE. </w:t>
      </w:r>
    </w:p>
    <w:p w14:paraId="7B29F6FF" w14:textId="77777777" w:rsidR="00691289" w:rsidRPr="00691289" w:rsidRDefault="00691289" w:rsidP="006912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</w:t>
      </w:r>
      <w:proofErr w:type="spellEnd"/>
      <w:r w:rsidRPr="006912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D13A039" w14:textId="77777777" w:rsidR="00D1113E" w:rsidRPr="00D1113E" w:rsidRDefault="00D1113E">
      <w:pPr>
        <w:rPr>
          <w:lang w:val="en-US"/>
        </w:rPr>
      </w:pPr>
    </w:p>
    <w:sectPr w:rsidR="00D1113E" w:rsidRPr="00D1113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C55"/>
    <w:multiLevelType w:val="multilevel"/>
    <w:tmpl w:val="F4342F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A02BD"/>
    <w:multiLevelType w:val="multilevel"/>
    <w:tmpl w:val="7DAE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F7FDE"/>
    <w:multiLevelType w:val="multilevel"/>
    <w:tmpl w:val="5484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95DD1"/>
    <w:multiLevelType w:val="multilevel"/>
    <w:tmpl w:val="EF4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70E7A"/>
    <w:multiLevelType w:val="multilevel"/>
    <w:tmpl w:val="27DC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FF1828"/>
    <w:multiLevelType w:val="multilevel"/>
    <w:tmpl w:val="DB9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A6851"/>
    <w:multiLevelType w:val="multilevel"/>
    <w:tmpl w:val="572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463A6"/>
    <w:multiLevelType w:val="multilevel"/>
    <w:tmpl w:val="25A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D44C9"/>
    <w:multiLevelType w:val="multilevel"/>
    <w:tmpl w:val="4D1C98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507BA"/>
    <w:multiLevelType w:val="multilevel"/>
    <w:tmpl w:val="546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D1EEB"/>
    <w:multiLevelType w:val="multilevel"/>
    <w:tmpl w:val="A67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57AA6"/>
    <w:multiLevelType w:val="multilevel"/>
    <w:tmpl w:val="0B2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86865"/>
    <w:multiLevelType w:val="multilevel"/>
    <w:tmpl w:val="64EAC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19728">
    <w:abstractNumId w:val="11"/>
  </w:num>
  <w:num w:numId="2" w16cid:durableId="856191225">
    <w:abstractNumId w:val="4"/>
  </w:num>
  <w:num w:numId="3" w16cid:durableId="415371988">
    <w:abstractNumId w:val="10"/>
  </w:num>
  <w:num w:numId="4" w16cid:durableId="435830412">
    <w:abstractNumId w:val="2"/>
  </w:num>
  <w:num w:numId="5" w16cid:durableId="1145195144">
    <w:abstractNumId w:val="7"/>
  </w:num>
  <w:num w:numId="6" w16cid:durableId="892814195">
    <w:abstractNumId w:val="12"/>
  </w:num>
  <w:num w:numId="7" w16cid:durableId="1809318249">
    <w:abstractNumId w:val="5"/>
  </w:num>
  <w:num w:numId="8" w16cid:durableId="1080179427">
    <w:abstractNumId w:val="8"/>
  </w:num>
  <w:num w:numId="9" w16cid:durableId="1452674945">
    <w:abstractNumId w:val="6"/>
  </w:num>
  <w:num w:numId="10" w16cid:durableId="1890529219">
    <w:abstractNumId w:val="0"/>
  </w:num>
  <w:num w:numId="11" w16cid:durableId="1438138267">
    <w:abstractNumId w:val="1"/>
  </w:num>
  <w:num w:numId="12" w16cid:durableId="93983024">
    <w:abstractNumId w:val="9"/>
  </w:num>
  <w:num w:numId="13" w16cid:durableId="274946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3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91289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1113E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A6D55"/>
  <w15:chartTrackingRefBased/>
  <w15:docId w15:val="{E916EF88-B36D-4673-A206-B50D25F6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3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3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3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3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3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11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3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111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128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91289"/>
    <w:rPr>
      <w:b/>
      <w:bCs/>
    </w:rPr>
  </w:style>
  <w:style w:type="character" w:styleId="Emphasis">
    <w:name w:val="Emphasis"/>
    <w:basedOn w:val="DefaultParagraphFont"/>
    <w:uiPriority w:val="20"/>
    <w:qFormat/>
    <w:rsid w:val="00691289"/>
    <w:rPr>
      <w:i/>
      <w:iCs/>
    </w:rPr>
  </w:style>
  <w:style w:type="character" w:customStyle="1" w:styleId="relative">
    <w:name w:val="relative"/>
    <w:basedOn w:val="DefaultParagraphFont"/>
    <w:rsid w:val="00691289"/>
  </w:style>
  <w:style w:type="paragraph" w:customStyle="1" w:styleId="not-prose">
    <w:name w:val="not-prose"/>
    <w:basedOn w:val="Normal"/>
    <w:rsid w:val="0069128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2026-01-11T13:01:00Z</dcterms:created>
  <dcterms:modified xsi:type="dcterms:W3CDTF">2026-01-11T13:02:00Z</dcterms:modified>
</cp:coreProperties>
</file>