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24CF" w14:textId="69475767" w:rsidR="00AC5231" w:rsidRDefault="003038F8">
      <w:pPr>
        <w:rPr>
          <w:lang w:val="en-US"/>
        </w:rPr>
      </w:pPr>
      <w:r w:rsidRPr="003038F8">
        <w:rPr>
          <w:lang w:val="en-US"/>
        </w:rPr>
        <w:t>2024 Enhancing Power Grid Resilience Against Typhoon Disasters by Coordinated Scheduling of Source-Network-Load-IEEE</w:t>
      </w:r>
    </w:p>
    <w:p w14:paraId="1E0AD1D7" w14:textId="77777777" w:rsidR="003038F8" w:rsidRDefault="003038F8">
      <w:pPr>
        <w:rPr>
          <w:lang w:val="en-US"/>
        </w:rPr>
      </w:pPr>
    </w:p>
    <w:p w14:paraId="7619510F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 (2024)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6373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Enhancing Power Grid Resilience Against Typhoon Disasters by Coordinated Scheduling of Source–Network–Load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Heng Zhang; Shenxi Zhang; Fangping Chen; Zheng Li; Haozhong Cheng; Gang Li; Xiaohu Zhang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6373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Industry Applications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60, no. 1, pp. 1442–1453, Jan./Feb. 2024.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DOI: 10.1109/TIA.2023.3318566 </w:t>
      </w:r>
    </w:p>
    <w:p w14:paraId="44479413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Enhancing Power Grid Resil…</w:t>
      </w:r>
    </w:p>
    <w:p w14:paraId="09087ED6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DB113E">
          <v:rect id="_x0000_i1025" style="width:0;height:1.5pt" o:hralign="center" o:hrstd="t" o:hr="t" fillcolor="#a0a0a0" stroked="f"/>
        </w:pict>
      </w:r>
    </w:p>
    <w:p w14:paraId="25F69ABB" w14:textId="77777777" w:rsidR="00363734" w:rsidRPr="00363734" w:rsidRDefault="00363734" w:rsidP="0036373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09ABA40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método completo de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agendamento preventivo (preventive scheduling)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aumentar a resiliência do sistema elétrico frente a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por tufões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através da coordenação integrada de:</w:t>
      </w:r>
    </w:p>
    <w:p w14:paraId="4AE7D336" w14:textId="77777777" w:rsidR="00363734" w:rsidRPr="00363734" w:rsidRDefault="00363734" w:rsidP="003637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 (Source):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unit commitment e redispatch de geradores;</w:t>
      </w:r>
    </w:p>
    <w:p w14:paraId="3A9E8DAB" w14:textId="77777777" w:rsidR="00363734" w:rsidRPr="00363734" w:rsidRDefault="00363734" w:rsidP="003637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Rede (Network):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6373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Optimal Transmission Switching</w:t>
      </w: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(OTS</w:t>
      </w:r>
      <w:proofErr w:type="gramStart"/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6FADB043" w14:textId="77777777" w:rsidR="00363734" w:rsidRPr="00363734" w:rsidRDefault="00363734" w:rsidP="003637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(Load):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gestão ativa por:</w:t>
      </w:r>
    </w:p>
    <w:p w14:paraId="754FDDB1" w14:textId="77777777" w:rsidR="00363734" w:rsidRPr="00363734" w:rsidRDefault="00363734" w:rsidP="003637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transferíveis,</w:t>
      </w:r>
    </w:p>
    <w:p w14:paraId="13F8CA1C" w14:textId="77777777" w:rsidR="00363734" w:rsidRPr="00363734" w:rsidRDefault="00363734" w:rsidP="003637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deslocáveis no tempo (</w:t>
      </w:r>
      <w:r w:rsidRPr="0036373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shiftable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4A6E62EC" w14:textId="77777777" w:rsidR="00363734" w:rsidRPr="00363734" w:rsidRDefault="00363734" w:rsidP="003637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interrompíveis.</w:t>
      </w:r>
    </w:p>
    <w:p w14:paraId="07D5CDE8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conceito de resiliência é tratado como:</w:t>
      </w:r>
    </w:p>
    <w:p w14:paraId="3048EC6A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do sistema de preservar cargas importantes e reduzir perdas socioeconômicas durante eventos extremos, usando decisões operacionais ótimas antes e durante o desastre. </w:t>
      </w:r>
    </w:p>
    <w:p w14:paraId="78A25BA5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Enhancing Power Grid Resil…</w:t>
      </w:r>
    </w:p>
    <w:p w14:paraId="07A2D18A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Portanto, o foco é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e de despacho preventivo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resiliência física estrutural das linhas de transmissão.</w:t>
      </w:r>
    </w:p>
    <w:p w14:paraId="0C4D53B5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3121A1">
          <v:rect id="_x0000_i1026" style="width:0;height:1.5pt" o:hralign="center" o:hrstd="t" o:hr="t" fillcolor="#a0a0a0" stroked="f"/>
        </w:pict>
      </w:r>
    </w:p>
    <w:p w14:paraId="0D90FF8E" w14:textId="77777777" w:rsidR="00363734" w:rsidRPr="00363734" w:rsidRDefault="00363734" w:rsidP="0036373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0EA891ED" w14:textId="77777777" w:rsidR="00363734" w:rsidRPr="00363734" w:rsidRDefault="00363734" w:rsidP="0036373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Novo índice de resiliência baseado em perdas reais: SLoLS</w:t>
      </w:r>
    </w:p>
    <w:p w14:paraId="73F2F26F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define um índice chamado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SLoLS – Subjective Loss of Load Shedding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 função utilidade:</w:t>
      </w:r>
    </w:p>
    <w:p w14:paraId="4A4B7526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b,t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NLS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b,t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NLS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b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BDA1124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46, pág. 1447) </w:t>
      </w:r>
    </w:p>
    <w:p w14:paraId="07D05FDC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Enhancing Power Grid Resil…</w:t>
      </w:r>
    </w:p>
    <w:p w14:paraId="5FFA1CDD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 função objetivo global:</w:t>
      </w:r>
    </w:p>
    <w:p w14:paraId="19322EFE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m:t>SLoLS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b</m:t>
                  </m:r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(</m:t>
                  </m:r>
                </m:e>
              </m:nary>
            </m:e>
          </m:nary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NLS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b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35417E8C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47, pág. 1448) </w:t>
      </w:r>
    </w:p>
    <w:p w14:paraId="2CA08426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Enhancing Power Grid Resil…</w:t>
      </w:r>
    </w:p>
    <w:p w14:paraId="24FA5DA1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3E6A954" w14:textId="77777777" w:rsidR="00363734" w:rsidRPr="00363734" w:rsidRDefault="00363734" w:rsidP="003637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b,t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NLS</m:t>
            </m:r>
          </m:sup>
        </m:sSubSup>
      </m:oMath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carga não suprida não-interrompível;</w:t>
      </w:r>
    </w:p>
    <w:p w14:paraId="32FACC11" w14:textId="77777777" w:rsidR="00363734" w:rsidRPr="00363734" w:rsidRDefault="00363734" w:rsidP="003637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sub>
        </m:sSub>
      </m:oMath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expoente que representa a importância socioeconômica da carga no barramento.</w:t>
      </w:r>
    </w:p>
    <w:p w14:paraId="5A7365C4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avanço metodológico forte: a resiliência deixa de ser “quanto MW eu perdi” e passa a ser “quanto impacto social eu causei”.</w:t>
      </w:r>
    </w:p>
    <w:p w14:paraId="1813F5E2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E420D6">
          <v:rect id="_x0000_i1027" style="width:0;height:1.5pt" o:hralign="center" o:hrstd="t" o:hr="t" fillcolor="#a0a0a0" stroked="f"/>
        </w:pict>
      </w:r>
    </w:p>
    <w:p w14:paraId="50CCA53C" w14:textId="77777777" w:rsidR="00363734" w:rsidRPr="00363734" w:rsidRDefault="00363734" w:rsidP="0036373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rigorosa de OTS com UC</w:t>
      </w:r>
    </w:p>
    <w:p w14:paraId="55EBC93C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modela formalmente o </w:t>
      </w:r>
      <w:r w:rsidRPr="0036373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Optimal Transmission Switching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dentro de um problema de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Unit Commitment multiperíodo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193E5DA" w14:textId="77777777" w:rsidR="00363734" w:rsidRPr="00363734" w:rsidRDefault="00363734" w:rsidP="0036373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Variável binária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l(m,n),t</m:t>
            </m:r>
          </m:sub>
        </m:sSub>
      </m:oMath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se a linha está ligada ou desligada (Eq. 19);</w:t>
      </w:r>
    </w:p>
    <w:p w14:paraId="31E5BAFB" w14:textId="77777777" w:rsidR="00363734" w:rsidRPr="00363734" w:rsidRDefault="00363734" w:rsidP="0036373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do número máximo de linhas desligadas por período (Eq. 20);</w:t>
      </w:r>
    </w:p>
    <w:p w14:paraId="55430068" w14:textId="77777777" w:rsidR="00363734" w:rsidRPr="00363734" w:rsidRDefault="00363734" w:rsidP="0036373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DC-OPF adaptadas ao OTS (Eq. 15–18);</w:t>
      </w:r>
    </w:p>
    <w:p w14:paraId="06736BBA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aparece claramente nas páginas 1445–1447. </w:t>
      </w:r>
    </w:p>
    <w:p w14:paraId="14F87F29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Enhancing Power Grid Resil…</w:t>
      </w:r>
    </w:p>
    <w:p w14:paraId="1C331167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CC9B9D">
          <v:rect id="_x0000_i1028" style="width:0;height:1.5pt" o:hralign="center" o:hrstd="t" o:hr="t" fillcolor="#a0a0a0" stroked="f"/>
        </w:pict>
      </w:r>
    </w:p>
    <w:p w14:paraId="6E2F5729" w14:textId="77777777" w:rsidR="00363734" w:rsidRPr="00363734" w:rsidRDefault="00363734" w:rsidP="0036373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Método inovador de redução dimensional do OTS</w:t>
      </w:r>
    </w:p>
    <w:p w14:paraId="292FA952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maiores méritos técnicos do artigo é o método de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seleção de linhas efetivamente relevantes para OTS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correlação topológica de ordem </w:t>
      </w:r>
      <w:r w:rsidRPr="0036373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k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47F7825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930F69D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(Eqs. 23–25, pág. 1446) </w:t>
      </w:r>
    </w:p>
    <w:p w14:paraId="7671B056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Enhancing Power Grid Resil…</w:t>
      </w:r>
    </w:p>
    <w:p w14:paraId="0286C224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Mostra-se que:</w:t>
      </w:r>
    </w:p>
    <w:p w14:paraId="06D28BF7" w14:textId="77777777" w:rsidR="00363734" w:rsidRPr="00363734" w:rsidRDefault="00363734" w:rsidP="0036373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k=2</m:t>
        </m:r>
      </m:oMath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os resultados são idênticos ao caso em que todas as linhas participam do OTS;</w:t>
      </w:r>
    </w:p>
    <w:p w14:paraId="56502EA4" w14:textId="77777777" w:rsidR="00363734" w:rsidRPr="00363734" w:rsidRDefault="00363734" w:rsidP="0036373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o número de variáveis binárias é reduzido em até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57,8%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as MILCs em até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48,4%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X, pág. 1451). </w:t>
      </w:r>
    </w:p>
    <w:p w14:paraId="5D1A24FB" w14:textId="77777777" w:rsidR="00363734" w:rsidRPr="00363734" w:rsidRDefault="00363734" w:rsidP="0036373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Enhancing Power Grid Resil…</w:t>
      </w:r>
    </w:p>
    <w:p w14:paraId="4F0992D1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uma contribuição metodológica extremamente forte para problemas MILP de grande escala.</w:t>
      </w:r>
    </w:p>
    <w:p w14:paraId="3D522967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7AC91F">
          <v:rect id="_x0000_i1029" style="width:0;height:1.5pt" o:hralign="center" o:hrstd="t" o:hr="t" fillcolor="#a0a0a0" stroked="f"/>
        </w:pict>
      </w:r>
    </w:p>
    <w:p w14:paraId="140B2737" w14:textId="77777777" w:rsidR="00363734" w:rsidRPr="00363734" w:rsidRDefault="00363734" w:rsidP="0036373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completa de gestão da carga</w:t>
      </w:r>
    </w:p>
    <w:p w14:paraId="0AEC37CF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 matematicamente:</w:t>
      </w:r>
    </w:p>
    <w:p w14:paraId="2325B6F9" w14:textId="77777777" w:rsidR="00363734" w:rsidRPr="00363734" w:rsidRDefault="00363734" w:rsidP="0036373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transferível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pág. 1445);</w:t>
      </w:r>
    </w:p>
    <w:p w14:paraId="78E93FD3" w14:textId="77777777" w:rsidR="00363734" w:rsidRPr="00363734" w:rsidRDefault="00363734" w:rsidP="0036373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deslocável no tempo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(Eqs. 4–7, pág. 1445);</w:t>
      </w:r>
    </w:p>
    <w:p w14:paraId="27428BE6" w14:textId="77777777" w:rsidR="00363734" w:rsidRPr="00363734" w:rsidRDefault="00363734" w:rsidP="0036373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interrompível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separando:</w:t>
      </w:r>
    </w:p>
    <w:p w14:paraId="3EFDAEFA" w14:textId="77777777" w:rsidR="00363734" w:rsidRPr="00363734" w:rsidRDefault="00363734" w:rsidP="0036373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interrompível contratada,</w:t>
      </w:r>
    </w:p>
    <w:p w14:paraId="252E7E0B" w14:textId="77777777" w:rsidR="00363734" w:rsidRPr="00363734" w:rsidRDefault="00363734" w:rsidP="00363734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crítica não-interrompível (Eqs. 8–12, pág. 1446).</w:t>
      </w:r>
    </w:p>
    <w:p w14:paraId="03A641F1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refinamento permite que o modelo preserve hospitais, serviços públicos e cargas críticas de forma explícita.</w:t>
      </w:r>
    </w:p>
    <w:p w14:paraId="1C3C7B24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82AA77">
          <v:rect id="_x0000_i1030" style="width:0;height:1.5pt" o:hralign="center" o:hrstd="t" o:hr="t" fillcolor="#a0a0a0" stroked="f"/>
        </w:pict>
      </w:r>
    </w:p>
    <w:p w14:paraId="574CDD95" w14:textId="77777777" w:rsidR="00363734" w:rsidRPr="00363734" w:rsidRDefault="00363734" w:rsidP="0036373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 sólidos</w:t>
      </w:r>
    </w:p>
    <w:p w14:paraId="3ADD7E3D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Nos sistemas:</w:t>
      </w:r>
    </w:p>
    <w:p w14:paraId="5E40AD38" w14:textId="77777777" w:rsidR="00363734" w:rsidRPr="00363734" w:rsidRDefault="00363734" w:rsidP="0036373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Two-Area;</w:t>
      </w:r>
    </w:p>
    <w:p w14:paraId="72422CFC" w14:textId="77777777" w:rsidR="00363734" w:rsidRPr="00363734" w:rsidRDefault="00363734" w:rsidP="0036373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118 barras;</w:t>
      </w:r>
    </w:p>
    <w:p w14:paraId="6FC4B21C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mostra-se que o método proposto reduz significativamente:</w:t>
      </w:r>
    </w:p>
    <w:p w14:paraId="67F1D208" w14:textId="77777777" w:rsidR="00363734" w:rsidRPr="00363734" w:rsidRDefault="00363734" w:rsidP="0036373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SLoLS em até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32%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VIII, pág. 1450);</w:t>
      </w:r>
    </w:p>
    <w:p w14:paraId="43137278" w14:textId="77777777" w:rsidR="00363734" w:rsidRPr="00363734" w:rsidRDefault="00363734" w:rsidP="0036373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barramentos com corte de carga;</w:t>
      </w:r>
    </w:p>
    <w:p w14:paraId="5C1B3F35" w14:textId="77777777" w:rsidR="00363734" w:rsidRPr="00363734" w:rsidRDefault="00363734" w:rsidP="0036373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socioeconômico total, mesmo quando a energia cortada total é semelhante.</w:t>
      </w:r>
    </w:p>
    <w:p w14:paraId="1C54B763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Figuras 6 e 7 (pág. 1450) mostram mapas temporais de carga cortada por barramento, evidenciando a redistribuição inteligente das perdas. </w:t>
      </w:r>
    </w:p>
    <w:p w14:paraId="790C105A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Enhancing Power Grid Resil…</w:t>
      </w:r>
    </w:p>
    <w:p w14:paraId="5EDC4029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D268F9">
          <v:rect id="_x0000_i1031" style="width:0;height:1.5pt" o:hralign="center" o:hrstd="t" o:hr="t" fillcolor="#a0a0a0" stroked="f"/>
        </w:pict>
      </w:r>
    </w:p>
    <w:p w14:paraId="42963B49" w14:textId="77777777" w:rsidR="00363734" w:rsidRPr="00363734" w:rsidRDefault="00363734" w:rsidP="0036373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186D49EC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de ser um artigo de altíssimo nível, existem limitações diretas para a sua tese de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3B99384" w14:textId="77777777" w:rsidR="00363734" w:rsidRPr="00363734" w:rsidRDefault="00363734" w:rsidP="0036373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falha das linhas é tratada como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forçada e binária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 disponível ou indisponível);</w:t>
      </w:r>
    </w:p>
    <w:p w14:paraId="715CEBF1" w14:textId="77777777" w:rsidR="00363734" w:rsidRPr="00363734" w:rsidRDefault="00363734" w:rsidP="0036373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modelagem física de:</w:t>
      </w:r>
    </w:p>
    <w:p w14:paraId="14D47736" w14:textId="77777777" w:rsidR="00363734" w:rsidRPr="00363734" w:rsidRDefault="00363734" w:rsidP="0036373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</w:t>
      </w:r>
    </w:p>
    <w:p w14:paraId="35EE136E" w14:textId="77777777" w:rsidR="00363734" w:rsidRPr="00363734" w:rsidRDefault="00363734" w:rsidP="0036373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esforços aerodinâmicos,</w:t>
      </w:r>
    </w:p>
    <w:p w14:paraId="096C4160" w14:textId="77777777" w:rsidR="00363734" w:rsidRPr="00363734" w:rsidRDefault="00363734" w:rsidP="0036373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1914AE42" w14:textId="77777777" w:rsidR="00363734" w:rsidRPr="00363734" w:rsidRDefault="00363734" w:rsidP="0036373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torres,</w:t>
      </w:r>
    </w:p>
    <w:p w14:paraId="496DDE29" w14:textId="77777777" w:rsidR="00363734" w:rsidRPr="00363734" w:rsidRDefault="00363734" w:rsidP="0036373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 de condutores;</w:t>
      </w:r>
    </w:p>
    <w:p w14:paraId="16F0AFFA" w14:textId="77777777" w:rsidR="00363734" w:rsidRPr="00363734" w:rsidRDefault="00363734" w:rsidP="0036373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existe:</w:t>
      </w:r>
    </w:p>
    <w:p w14:paraId="2A9BBE92" w14:textId="77777777" w:rsidR="00363734" w:rsidRPr="00363734" w:rsidRDefault="00363734" w:rsidP="00363734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esfor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 mec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nico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 estrutural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3EABC15" w14:textId="77777777" w:rsidR="00363734" w:rsidRPr="00363734" w:rsidRDefault="00363734" w:rsidP="0036373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curvas de fragilidade estrutural;</w:t>
      </w:r>
    </w:p>
    <w:p w14:paraId="4F3E51B0" w14:textId="77777777" w:rsidR="00363734" w:rsidRPr="00363734" w:rsidRDefault="00363734" w:rsidP="0036373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há tempo físico de reparo nem recuperação mecânica.</w:t>
      </w:r>
    </w:p>
    <w:p w14:paraId="24D0A189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a linha “falha” por decisão exógena do modelo, não por física estrutural.</w:t>
      </w:r>
    </w:p>
    <w:p w14:paraId="72D1BB04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121F2D">
          <v:rect id="_x0000_i1032" style="width:0;height:1.5pt" o:hralign="center" o:hrstd="t" o:hr="t" fillcolor="#a0a0a0" stroked="f"/>
        </w:pict>
      </w:r>
    </w:p>
    <w:p w14:paraId="730075C5" w14:textId="77777777" w:rsidR="00363734" w:rsidRPr="00363734" w:rsidRDefault="00363734" w:rsidP="0036373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1492"/>
      </w:tblGrid>
      <w:tr w:rsidR="00363734" w:rsidRPr="00363734" w14:paraId="31957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3075E" w14:textId="77777777" w:rsidR="00363734" w:rsidRPr="00363734" w:rsidRDefault="00363734" w:rsidP="0036373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62E8448" w14:textId="77777777" w:rsidR="00363734" w:rsidRPr="00363734" w:rsidRDefault="00363734" w:rsidP="0036373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63734" w:rsidRPr="00363734" w14:paraId="5F17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10D5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como estruturas mecânicas</w:t>
            </w:r>
          </w:p>
        </w:tc>
        <w:tc>
          <w:tcPr>
            <w:tcW w:w="0" w:type="auto"/>
            <w:vAlign w:val="center"/>
            <w:hideMark/>
          </w:tcPr>
          <w:p w14:paraId="76EF8D92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63734" w:rsidRPr="00363734" w14:paraId="7DE0D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DCFF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como carregamento físico</w:t>
            </w:r>
          </w:p>
        </w:tc>
        <w:tc>
          <w:tcPr>
            <w:tcW w:w="0" w:type="auto"/>
            <w:vAlign w:val="center"/>
            <w:hideMark/>
          </w:tcPr>
          <w:p w14:paraId="222EF104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63734" w:rsidRPr="00363734" w14:paraId="3664C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9164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0E498AF7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63734" w:rsidRPr="00363734" w14:paraId="12563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4D43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 infraestrutura</w:t>
            </w:r>
          </w:p>
        </w:tc>
        <w:tc>
          <w:tcPr>
            <w:tcW w:w="0" w:type="auto"/>
            <w:vAlign w:val="center"/>
            <w:hideMark/>
          </w:tcPr>
          <w:p w14:paraId="0387F888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63734" w:rsidRPr="00363734" w14:paraId="2C50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2616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 sistêmica</w:t>
            </w:r>
          </w:p>
        </w:tc>
        <w:tc>
          <w:tcPr>
            <w:tcW w:w="0" w:type="auto"/>
            <w:vAlign w:val="center"/>
            <w:hideMark/>
          </w:tcPr>
          <w:p w14:paraId="3558D782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363734" w:rsidRPr="00363734" w14:paraId="0BB01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E572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matemática de resiliência</w:t>
            </w:r>
          </w:p>
        </w:tc>
        <w:tc>
          <w:tcPr>
            <w:tcW w:w="0" w:type="auto"/>
            <w:vAlign w:val="center"/>
            <w:hideMark/>
          </w:tcPr>
          <w:p w14:paraId="7548FA1D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363734" w:rsidRPr="00363734" w14:paraId="4E1BF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D52A2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formal de perdas (SLoLS)</w:t>
            </w:r>
          </w:p>
        </w:tc>
        <w:tc>
          <w:tcPr>
            <w:tcW w:w="0" w:type="auto"/>
            <w:vAlign w:val="center"/>
            <w:hideMark/>
          </w:tcPr>
          <w:p w14:paraId="54A80D88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Excelente</w:t>
            </w:r>
          </w:p>
        </w:tc>
      </w:tr>
      <w:tr w:rsidR="00363734" w:rsidRPr="00363734" w14:paraId="1D9F5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D602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planejamento resiliente</w:t>
            </w:r>
          </w:p>
        </w:tc>
        <w:tc>
          <w:tcPr>
            <w:tcW w:w="0" w:type="auto"/>
            <w:vAlign w:val="center"/>
            <w:hideMark/>
          </w:tcPr>
          <w:p w14:paraId="664FC757" w14:textId="77777777" w:rsidR="00363734" w:rsidRPr="00363734" w:rsidRDefault="00363734" w:rsidP="0036373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6373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437BE5E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sua tese: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baixa–média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6373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conceitual: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698ECB5A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42F1F8">
          <v:rect id="_x0000_i1033" style="width:0;height:1.5pt" o:hralign="center" o:hrstd="t" o:hr="t" fillcolor="#a0a0a0" stroked="f"/>
        </w:pict>
      </w:r>
    </w:p>
    <w:p w14:paraId="261C262C" w14:textId="77777777" w:rsidR="00363734" w:rsidRPr="00363734" w:rsidRDefault="00363734" w:rsidP="0036373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0F11DBC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5D0E6E2A" w14:textId="77777777" w:rsidR="00363734" w:rsidRPr="00363734" w:rsidRDefault="00363734" w:rsidP="0036373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parte conceitual e metodológica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 de resiliência;</w:t>
      </w:r>
    </w:p>
    <w:p w14:paraId="0DA53C4B" w14:textId="77777777" w:rsidR="00363734" w:rsidRPr="00363734" w:rsidRDefault="00363734" w:rsidP="0036373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definição de métricas que não tratam todas as cargas como iguais;</w:t>
      </w:r>
    </w:p>
    <w:p w14:paraId="1706C677" w14:textId="77777777" w:rsidR="00363734" w:rsidRPr="00363734" w:rsidRDefault="00363734" w:rsidP="0036373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integração futura entre:</w:t>
      </w:r>
    </w:p>
    <w:p w14:paraId="79F88610" w14:textId="77777777" w:rsidR="00363734" w:rsidRPr="00363734" w:rsidRDefault="00363734" w:rsidP="00363734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sica da Linha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 Operacional do Sistema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E3C14EA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pode servir como:</w:t>
      </w:r>
    </w:p>
    <w:p w14:paraId="71FB2DA5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de como transformar falha física (sua tese) em impacto socioeconômico mensurável (SLoLS).</w:t>
      </w:r>
    </w:p>
    <w:p w14:paraId="4C130E93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496ACB">
          <v:rect id="_x0000_i1034" style="width:0;height:1.5pt" o:hralign="center" o:hrstd="t" o:hr="t" fillcolor="#a0a0a0" stroked="f"/>
        </w:pict>
      </w:r>
    </w:p>
    <w:p w14:paraId="1222EC28" w14:textId="77777777" w:rsidR="00363734" w:rsidRPr="00363734" w:rsidRDefault="00363734" w:rsidP="0036373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0CA6A55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(como referência metodológica complementar)</w:t>
      </w:r>
    </w:p>
    <w:p w14:paraId="505E3ABC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núcleo estrutural da tese, mas é:</w:t>
      </w:r>
    </w:p>
    <w:p w14:paraId="4A0021CD" w14:textId="77777777" w:rsidR="00363734" w:rsidRPr="00363734" w:rsidRDefault="00363734" w:rsidP="0036373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dos melhores artigos existentes sobre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frente a tufões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1D97B5" w14:textId="77777777" w:rsidR="00363734" w:rsidRPr="00363734" w:rsidRDefault="00363734" w:rsidP="0036373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matematicamente robusto;</w:t>
      </w:r>
    </w:p>
    <w:p w14:paraId="4451B340" w14:textId="77777777" w:rsidR="00363734" w:rsidRPr="00363734" w:rsidRDefault="00363734" w:rsidP="0036373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metodologicamente sofisticado;</w:t>
      </w:r>
    </w:p>
    <w:p w14:paraId="0D567672" w14:textId="77777777" w:rsidR="00363734" w:rsidRPr="00363734" w:rsidRDefault="00363734" w:rsidP="0036373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perfeitamente integrável à sua proposta futura de índice híbrido.</w:t>
      </w:r>
    </w:p>
    <w:p w14:paraId="490AB5E0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92D453">
          <v:rect id="_x0000_i1035" style="width:0;height:1.5pt" o:hralign="center" o:hrstd="t" o:hr="t" fillcolor="#a0a0a0" stroked="f"/>
        </w:pict>
      </w:r>
    </w:p>
    <w:p w14:paraId="3AF030A3" w14:textId="77777777" w:rsidR="00363734" w:rsidRPr="00363734" w:rsidRDefault="00363734" w:rsidP="0036373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2B86A406" w14:textId="77777777" w:rsidR="00363734" w:rsidRPr="00363734" w:rsidRDefault="00363734" w:rsidP="0036373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74F469B" w14:textId="77777777" w:rsidR="00363734" w:rsidRPr="00363734" w:rsidRDefault="00363734" w:rsidP="0036373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via despacho preventivo coordenado (source–network–load)</w:t>
      </w:r>
    </w:p>
    <w:p w14:paraId="67548CA3" w14:textId="77777777" w:rsidR="00363734" w:rsidRPr="00363734" w:rsidRDefault="00363734" w:rsidP="0036373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31A42B5F" w14:textId="77777777" w:rsidR="00363734" w:rsidRPr="00363734" w:rsidRDefault="00363734" w:rsidP="0036373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220B368" w14:textId="77777777" w:rsidR="00363734" w:rsidRPr="00363734" w:rsidRDefault="00363734" w:rsidP="0036373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B8F52BB" w14:textId="77777777" w:rsidR="00363734" w:rsidRPr="00363734" w:rsidRDefault="00363734" w:rsidP="0036373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0465A163" w14:textId="77777777" w:rsidR="00363734" w:rsidRPr="00363734" w:rsidRDefault="00363734" w:rsidP="00363734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 entre resiliência física e operacional</w:t>
      </w:r>
    </w:p>
    <w:p w14:paraId="49ED0817" w14:textId="77777777" w:rsidR="00363734" w:rsidRPr="00363734" w:rsidRDefault="00363734" w:rsidP="0036373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255C2BE1" w14:textId="77777777" w:rsidR="00363734" w:rsidRPr="00363734" w:rsidRDefault="00363734" w:rsidP="0036373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1E8412D">
          <v:rect id="_x0000_i1036" style="width:0;height:1.5pt" o:hralign="center" o:hrstd="t" o:hr="t" fillcolor="#a0a0a0" stroked="f"/>
        </w:pict>
      </w:r>
    </w:p>
    <w:p w14:paraId="5C0C2231" w14:textId="77777777" w:rsidR="00363734" w:rsidRPr="00363734" w:rsidRDefault="00363734" w:rsidP="0036373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6373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36373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58888844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dos melhores artigos de </w:t>
      </w:r>
      <w:r w:rsidRPr="0036373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contra tufões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já publicados.</w:t>
      </w:r>
    </w:p>
    <w:p w14:paraId="08E08A13" w14:textId="77777777" w:rsidR="00363734" w:rsidRPr="00363734" w:rsidRDefault="00363734" w:rsidP="0036373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é o complemento natural dele: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onde eles dizem </w:t>
      </w:r>
      <w:r w:rsidRPr="0036373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“a linha falhou”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você explica </w:t>
      </w:r>
      <w:r w:rsidRPr="0036373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“por que a linha falha”</w:t>
      </w:r>
      <w:r w:rsidRPr="0036373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7F0947E" w14:textId="77777777" w:rsidR="003038F8" w:rsidRPr="00363734" w:rsidRDefault="003038F8"/>
    <w:sectPr w:rsidR="003038F8" w:rsidRPr="0036373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71D57"/>
    <w:multiLevelType w:val="multilevel"/>
    <w:tmpl w:val="973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2108C"/>
    <w:multiLevelType w:val="multilevel"/>
    <w:tmpl w:val="158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76627"/>
    <w:multiLevelType w:val="multilevel"/>
    <w:tmpl w:val="59E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73FA7"/>
    <w:multiLevelType w:val="multilevel"/>
    <w:tmpl w:val="6ACA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15A61"/>
    <w:multiLevelType w:val="multilevel"/>
    <w:tmpl w:val="2B6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567FB"/>
    <w:multiLevelType w:val="multilevel"/>
    <w:tmpl w:val="ABCA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F3DE3"/>
    <w:multiLevelType w:val="multilevel"/>
    <w:tmpl w:val="DD3E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C6BFB"/>
    <w:multiLevelType w:val="multilevel"/>
    <w:tmpl w:val="8EC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8146F"/>
    <w:multiLevelType w:val="multilevel"/>
    <w:tmpl w:val="466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0720B"/>
    <w:multiLevelType w:val="multilevel"/>
    <w:tmpl w:val="E5BC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B76DA"/>
    <w:multiLevelType w:val="multilevel"/>
    <w:tmpl w:val="AEEC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451608">
    <w:abstractNumId w:val="3"/>
  </w:num>
  <w:num w:numId="2" w16cid:durableId="916402707">
    <w:abstractNumId w:val="1"/>
  </w:num>
  <w:num w:numId="3" w16cid:durableId="230389580">
    <w:abstractNumId w:val="8"/>
  </w:num>
  <w:num w:numId="4" w16cid:durableId="1388916350">
    <w:abstractNumId w:val="5"/>
  </w:num>
  <w:num w:numId="5" w16cid:durableId="1803571506">
    <w:abstractNumId w:val="0"/>
  </w:num>
  <w:num w:numId="6" w16cid:durableId="189496360">
    <w:abstractNumId w:val="4"/>
  </w:num>
  <w:num w:numId="7" w16cid:durableId="1878541996">
    <w:abstractNumId w:val="9"/>
  </w:num>
  <w:num w:numId="8" w16cid:durableId="1513572713">
    <w:abstractNumId w:val="10"/>
  </w:num>
  <w:num w:numId="9" w16cid:durableId="59208131">
    <w:abstractNumId w:val="2"/>
  </w:num>
  <w:num w:numId="10" w16cid:durableId="146828063">
    <w:abstractNumId w:val="7"/>
  </w:num>
  <w:num w:numId="11" w16cid:durableId="9982651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8F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038F8"/>
    <w:rsid w:val="00347332"/>
    <w:rsid w:val="00363734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B0AC7"/>
  <w15:chartTrackingRefBased/>
  <w15:docId w15:val="{AE8B7BC5-4557-4902-A4D4-9D68FFA1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8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8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8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8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8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8F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8F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8F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8F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8F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0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8F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038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73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63734"/>
    <w:rPr>
      <w:b/>
      <w:bCs/>
    </w:rPr>
  </w:style>
  <w:style w:type="character" w:styleId="Emphasis">
    <w:name w:val="Emphasis"/>
    <w:basedOn w:val="DefaultParagraphFont"/>
    <w:uiPriority w:val="20"/>
    <w:qFormat/>
    <w:rsid w:val="00363734"/>
    <w:rPr>
      <w:i/>
      <w:iCs/>
    </w:rPr>
  </w:style>
  <w:style w:type="character" w:customStyle="1" w:styleId="relative">
    <w:name w:val="relative"/>
    <w:basedOn w:val="DefaultParagraphFont"/>
    <w:rsid w:val="00363734"/>
  </w:style>
  <w:style w:type="paragraph" w:customStyle="1" w:styleId="not-prose">
    <w:name w:val="not-prose"/>
    <w:basedOn w:val="Normal"/>
    <w:rsid w:val="0036373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1005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2026-01-11T17:40:00Z</dcterms:created>
  <dcterms:modified xsi:type="dcterms:W3CDTF">2026-01-11T17:41:00Z</dcterms:modified>
</cp:coreProperties>
</file>