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07F784" w14:textId="75B20C02" w:rsidR="00AC5231" w:rsidRDefault="00DB1784">
      <w:pPr>
        <w:rPr>
          <w:lang w:val="en-US"/>
        </w:rPr>
      </w:pPr>
      <w:r w:rsidRPr="00DB1784">
        <w:rPr>
          <w:lang w:val="en-US"/>
        </w:rPr>
        <w:t>2024 Power system resilience and strategies for a sustainable infrastructure-A review-ELSEVIER</w:t>
      </w:r>
    </w:p>
    <w:p w14:paraId="36341862" w14:textId="77777777" w:rsidR="00DB1784" w:rsidRDefault="00DB1784">
      <w:pPr>
        <w:rPr>
          <w:lang w:val="en-US"/>
        </w:rPr>
      </w:pPr>
    </w:p>
    <w:p w14:paraId="34E3BD2A" w14:textId="77777777" w:rsidR="00AF4055" w:rsidRPr="00AF4055" w:rsidRDefault="00AF4055" w:rsidP="00AF4055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AF4055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Artigo (2024)</w:t>
      </w:r>
    </w:p>
    <w:p w14:paraId="1FDCBC0B" w14:textId="77777777" w:rsidR="00AF4055" w:rsidRPr="00AF4055" w:rsidRDefault="00AF4055" w:rsidP="00AF4055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AF4055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Título: </w:t>
      </w:r>
      <w:r w:rsidRPr="00AF4055">
        <w:rPr>
          <w:rFonts w:eastAsia="Times New Roman" w:cs="Times New Roman"/>
          <w:i/>
          <w:iCs/>
          <w:kern w:val="0"/>
          <w:sz w:val="24"/>
          <w:szCs w:val="24"/>
          <w:lang w:val="en-US" w:eastAsia="pt-PT"/>
          <w14:ligatures w14:val="none"/>
        </w:rPr>
        <w:t>Power system resilience and strategies for a sustainable infrastructure: A review</w:t>
      </w:r>
      <w:r w:rsidRPr="00AF4055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 </w:t>
      </w:r>
    </w:p>
    <w:p w14:paraId="7226A5EB" w14:textId="77777777" w:rsidR="00AF4055" w:rsidRPr="00AF4055" w:rsidRDefault="00AF4055" w:rsidP="00AF4055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AF4055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2024 Power system resilience an…</w:t>
      </w:r>
    </w:p>
    <w:p w14:paraId="4FB823DA" w14:textId="77777777" w:rsidR="00AF4055" w:rsidRPr="00AF4055" w:rsidRDefault="00AF4055" w:rsidP="00AF4055">
      <w:pPr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AF4055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  <w:t xml:space="preserve">Autores: Asit Mohanty; A. K. Ramasamy; Renuga Verayiah; Satabdi Bastia; Sarthak Swaroop Dash; Erdem Cuce; T. M. Yunus Khan; Manzoore Elahi M. Soudagar </w:t>
      </w:r>
    </w:p>
    <w:p w14:paraId="66444938" w14:textId="77777777" w:rsidR="00AF4055" w:rsidRPr="00AF4055" w:rsidRDefault="00AF4055" w:rsidP="00AF4055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AF4055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2024 Power system resilience an…</w:t>
      </w:r>
    </w:p>
    <w:p w14:paraId="64B9E02E" w14:textId="77777777" w:rsidR="00AF4055" w:rsidRPr="00AF4055" w:rsidRDefault="00AF4055" w:rsidP="00AF4055">
      <w:pPr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AF4055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  <w:t xml:space="preserve">Fonte: </w:t>
      </w:r>
      <w:r w:rsidRPr="00AF4055">
        <w:rPr>
          <w:rFonts w:eastAsia="Times New Roman" w:cs="Times New Roman"/>
          <w:i/>
          <w:iCs/>
          <w:kern w:val="0"/>
          <w:sz w:val="24"/>
          <w:szCs w:val="24"/>
          <w:lang w:val="en-US" w:eastAsia="pt-PT"/>
          <w14:ligatures w14:val="none"/>
        </w:rPr>
        <w:t>Alexandria Engineering Journal</w:t>
      </w:r>
      <w:r w:rsidRPr="00AF4055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, vol. 105, pp. 261–279, Elsevier, 2024 </w:t>
      </w:r>
    </w:p>
    <w:p w14:paraId="49DA21B2" w14:textId="77777777" w:rsidR="00AF4055" w:rsidRPr="00AF4055" w:rsidRDefault="00AF4055" w:rsidP="00AF4055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AF4055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2024 Power system resilience an…</w:t>
      </w:r>
    </w:p>
    <w:p w14:paraId="504B9376" w14:textId="77777777" w:rsidR="00AF4055" w:rsidRPr="00AF4055" w:rsidRDefault="00AF4055" w:rsidP="00AF4055">
      <w:pPr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AF4055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br/>
        <w:t xml:space="preserve">DOI: 10.1016/j.aej.2024.06.092 </w:t>
      </w:r>
    </w:p>
    <w:p w14:paraId="7E6501FC" w14:textId="77777777" w:rsidR="00AF4055" w:rsidRPr="00AF4055" w:rsidRDefault="00AF4055" w:rsidP="00AF4055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F405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2024 Power system resilience an…</w:t>
      </w:r>
    </w:p>
    <w:p w14:paraId="040A24E0" w14:textId="77777777" w:rsidR="00AF4055" w:rsidRPr="00AF4055" w:rsidRDefault="00AF4055" w:rsidP="00AF4055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F405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2C48B180">
          <v:rect id="_x0000_i1025" style="width:0;height:1.5pt" o:hralign="center" o:hrstd="t" o:hr="t" fillcolor="#a0a0a0" stroked="f"/>
        </w:pict>
      </w:r>
    </w:p>
    <w:p w14:paraId="14355076" w14:textId="77777777" w:rsidR="00AF4055" w:rsidRPr="00AF4055" w:rsidRDefault="00AF4055" w:rsidP="00AF4055">
      <w:pPr>
        <w:numPr>
          <w:ilvl w:val="0"/>
          <w:numId w:val="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F405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Foco real do artigo</w:t>
      </w:r>
    </w:p>
    <w:p w14:paraId="5C5C835A" w14:textId="77777777" w:rsidR="00AF4055" w:rsidRPr="00AF4055" w:rsidRDefault="00AF4055" w:rsidP="00AF4055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F405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Trata-se de um </w:t>
      </w:r>
      <w:r w:rsidRPr="00AF405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artigo de revisão ampla (survey)</w:t>
      </w:r>
      <w:r w:rsidRPr="00AF405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sobre resiliência em sistemas elétricos, cobrindo:</w:t>
      </w:r>
    </w:p>
    <w:p w14:paraId="6427EE48" w14:textId="77777777" w:rsidR="00AF4055" w:rsidRPr="00AF4055" w:rsidRDefault="00AF4055" w:rsidP="00AF4055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F405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conceitos gerais de resiliência, confiabilidade e sustentabilidade;</w:t>
      </w:r>
    </w:p>
    <w:p w14:paraId="6AED3125" w14:textId="77777777" w:rsidR="00AF4055" w:rsidRPr="00AF4055" w:rsidRDefault="00AF4055" w:rsidP="00AF4055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F405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impactos de desastres naturais e eventos extremos no sistema elétrico;</w:t>
      </w:r>
    </w:p>
    <w:p w14:paraId="28835559" w14:textId="77777777" w:rsidR="00AF4055" w:rsidRPr="00AF4055" w:rsidRDefault="00AF4055" w:rsidP="00AF4055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F405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vulnerabilidade física, cibernética e ciberfísica;</w:t>
      </w:r>
    </w:p>
    <w:p w14:paraId="516E0961" w14:textId="77777777" w:rsidR="00AF4055" w:rsidRPr="00AF4055" w:rsidRDefault="00AF4055" w:rsidP="00AF4055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F405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métodos de avaliação de risco e vulnerabilidade;</w:t>
      </w:r>
    </w:p>
    <w:p w14:paraId="056AA41C" w14:textId="77777777" w:rsidR="00AF4055" w:rsidRPr="00AF4055" w:rsidRDefault="00AF4055" w:rsidP="00AF4055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F405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métricas de resiliência (baseadas em atributos e desempenho);</w:t>
      </w:r>
    </w:p>
    <w:p w14:paraId="67267FCA" w14:textId="77777777" w:rsidR="00AF4055" w:rsidRPr="00AF4055" w:rsidRDefault="00AF4055" w:rsidP="00AF4055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F405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estratégias de aumento de resiliência (planejamento, resposta, recuperação, adaptação);</w:t>
      </w:r>
    </w:p>
    <w:p w14:paraId="4B015C5F" w14:textId="77777777" w:rsidR="00AF4055" w:rsidRPr="00AF4055" w:rsidRDefault="00AF4055" w:rsidP="00AF4055">
      <w:pPr>
        <w:numPr>
          <w:ilvl w:val="0"/>
          <w:numId w:val="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F405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integração com sustentabilidade, microgrids e aspectos socioeconômicos. </w:t>
      </w:r>
    </w:p>
    <w:p w14:paraId="0E41893F" w14:textId="77777777" w:rsidR="00AF4055" w:rsidRPr="00AF4055" w:rsidRDefault="00AF4055" w:rsidP="00AF4055">
      <w:pPr>
        <w:spacing w:before="100" w:beforeAutospacing="1" w:after="100" w:afterAutospacing="1"/>
        <w:ind w:left="72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F405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2024 Power system resilience an…</w:t>
      </w:r>
    </w:p>
    <w:p w14:paraId="033AFC79" w14:textId="77777777" w:rsidR="00AF4055" w:rsidRPr="00AF4055" w:rsidRDefault="00AF4055" w:rsidP="00AF4055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F405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artigo discute explicitamente:</w:t>
      </w:r>
    </w:p>
    <w:p w14:paraId="08F4657C" w14:textId="77777777" w:rsidR="00AF4055" w:rsidRPr="00AF4055" w:rsidRDefault="00AF4055" w:rsidP="00AF4055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F405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falhas em transmissão, subestações e geração causadas por eventos naturais;</w:t>
      </w:r>
    </w:p>
    <w:p w14:paraId="22E5EA04" w14:textId="77777777" w:rsidR="00AF4055" w:rsidRPr="00AF4055" w:rsidRDefault="00AF4055" w:rsidP="00AF4055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F405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necessidade de fortalecimento de linhas e infraestruturas críticas;</w:t>
      </w:r>
    </w:p>
    <w:p w14:paraId="694F6D1D" w14:textId="77777777" w:rsidR="00AF4055" w:rsidRPr="00AF4055" w:rsidRDefault="00AF4055" w:rsidP="00AF4055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F405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fragilidade física e curvas de fragilidade como ferramentas de avaliação de vulnerabilidade (Tabela 3, p. 263);</w:t>
      </w:r>
    </w:p>
    <w:p w14:paraId="2719E20B" w14:textId="77777777" w:rsidR="00AF4055" w:rsidRPr="00AF4055" w:rsidRDefault="00AF4055" w:rsidP="00AF4055">
      <w:pPr>
        <w:numPr>
          <w:ilvl w:val="0"/>
          <w:numId w:val="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F405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t xml:space="preserve">conceito de curva de resiliência e métricas baseadas em desempenho no tempo (p. 266–267). </w:t>
      </w:r>
    </w:p>
    <w:p w14:paraId="27017C64" w14:textId="77777777" w:rsidR="00AF4055" w:rsidRPr="00AF4055" w:rsidRDefault="00AF4055" w:rsidP="00AF4055">
      <w:pPr>
        <w:spacing w:before="100" w:beforeAutospacing="1" w:after="100" w:afterAutospacing="1"/>
        <w:ind w:left="72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F405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2024 Power system resilience an…</w:t>
      </w:r>
    </w:p>
    <w:p w14:paraId="7F0DCB3C" w14:textId="77777777" w:rsidR="00AF4055" w:rsidRPr="00AF4055" w:rsidRDefault="00AF4055" w:rsidP="00AF4055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F4055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AF405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O foco é </w:t>
      </w:r>
      <w:r w:rsidRPr="00AF405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conceitual e estruturante</w:t>
      </w:r>
      <w:r w:rsidRPr="00AF405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, não é um artigo de modelagem aplicada, mas estabelece o arcabouço teórico completo da área de resiliência em sistemas elétricos.</w:t>
      </w:r>
    </w:p>
    <w:p w14:paraId="4F3AC4DE" w14:textId="77777777" w:rsidR="00AF4055" w:rsidRPr="00AF4055" w:rsidRDefault="00AF4055" w:rsidP="00AF4055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F405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7BCE3B09">
          <v:rect id="_x0000_i1026" style="width:0;height:1.5pt" o:hralign="center" o:hrstd="t" o:hr="t" fillcolor="#a0a0a0" stroked="f"/>
        </w:pict>
      </w:r>
    </w:p>
    <w:p w14:paraId="1C9F4D18" w14:textId="77777777" w:rsidR="00AF4055" w:rsidRPr="00AF4055" w:rsidRDefault="00AF4055" w:rsidP="00AF4055">
      <w:pPr>
        <w:numPr>
          <w:ilvl w:val="0"/>
          <w:numId w:val="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F405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Contribuições técnicas relevantes para sua tese</w:t>
      </w:r>
    </w:p>
    <w:p w14:paraId="265D6065" w14:textId="77777777" w:rsidR="00AF4055" w:rsidRPr="00AF4055" w:rsidRDefault="00AF4055" w:rsidP="00AF4055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F405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2.1 Fundamentação conceitual direta da resiliência física</w:t>
      </w:r>
    </w:p>
    <w:p w14:paraId="6747D1E3" w14:textId="77777777" w:rsidR="00AF4055" w:rsidRPr="00AF4055" w:rsidRDefault="00AF4055" w:rsidP="00AF4055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F405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artigo distingue claramente:</w:t>
      </w:r>
    </w:p>
    <w:p w14:paraId="494BF171" w14:textId="77777777" w:rsidR="00AF4055" w:rsidRPr="00AF4055" w:rsidRDefault="00AF4055" w:rsidP="00AF4055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F405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confiabilidade → eventos frequentes e de baixo impacto;</w:t>
      </w:r>
    </w:p>
    <w:p w14:paraId="017A5F2F" w14:textId="77777777" w:rsidR="00AF4055" w:rsidRPr="00AF4055" w:rsidRDefault="00AF4055" w:rsidP="00AF4055">
      <w:pPr>
        <w:numPr>
          <w:ilvl w:val="0"/>
          <w:numId w:val="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F405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resiliência → eventos raros e de alto impacto (HILP), como furacões, incêndios, tempestades de gelo e terremotos (Tabela 4, p. 266). </w:t>
      </w:r>
    </w:p>
    <w:p w14:paraId="4EA24D77" w14:textId="77777777" w:rsidR="00AF4055" w:rsidRPr="00AF4055" w:rsidRDefault="00AF4055" w:rsidP="00AF4055">
      <w:pPr>
        <w:spacing w:before="100" w:beforeAutospacing="1" w:after="100" w:afterAutospacing="1"/>
        <w:ind w:left="72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F405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2024 Power system resilience an…</w:t>
      </w:r>
    </w:p>
    <w:p w14:paraId="43829B55" w14:textId="77777777" w:rsidR="00AF4055" w:rsidRPr="00AF4055" w:rsidRDefault="00AF4055" w:rsidP="00AF4055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F405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Isso é absolutamente alinhado com o núcleo da sua tese.</w:t>
      </w:r>
    </w:p>
    <w:p w14:paraId="048DEDAA" w14:textId="77777777" w:rsidR="00AF4055" w:rsidRPr="00AF4055" w:rsidRDefault="00AF4055" w:rsidP="00AF4055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F405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31BBC9AC">
          <v:rect id="_x0000_i1027" style="width:0;height:1.5pt" o:hralign="center" o:hrstd="t" o:hr="t" fillcolor="#a0a0a0" stroked="f"/>
        </w:pict>
      </w:r>
    </w:p>
    <w:p w14:paraId="53E347CE" w14:textId="77777777" w:rsidR="00AF4055" w:rsidRPr="00AF4055" w:rsidRDefault="00AF4055" w:rsidP="00AF4055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F405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2.2 Introdução explícita da fragilidade física de infraestruturas</w:t>
      </w:r>
    </w:p>
    <w:p w14:paraId="51469AC1" w14:textId="77777777" w:rsidR="00AF4055" w:rsidRPr="00AF4055" w:rsidRDefault="00AF4055" w:rsidP="00AF4055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F405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Na Tabela 3 (p. 263), o artigo cita diretamente:</w:t>
      </w:r>
    </w:p>
    <w:p w14:paraId="1CABADB1" w14:textId="77777777" w:rsidR="00AF4055" w:rsidRPr="00AF4055" w:rsidRDefault="00AF4055" w:rsidP="00AF4055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F405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curvas de fragilidade para infraestrutura;</w:t>
      </w:r>
    </w:p>
    <w:p w14:paraId="01330F09" w14:textId="77777777" w:rsidR="00AF4055" w:rsidRPr="00AF4055" w:rsidRDefault="00AF4055" w:rsidP="00AF4055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F405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fragilidade de linhas aéreas em função da velocidade do vento;</w:t>
      </w:r>
    </w:p>
    <w:p w14:paraId="1ED4746F" w14:textId="77777777" w:rsidR="00AF4055" w:rsidRPr="00AF4055" w:rsidRDefault="00AF4055" w:rsidP="00AF4055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F405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fragilidade de linhas subterrâneas;</w:t>
      </w:r>
    </w:p>
    <w:p w14:paraId="57838796" w14:textId="77777777" w:rsidR="00AF4055" w:rsidRPr="00AF4055" w:rsidRDefault="00AF4055" w:rsidP="00AF4055">
      <w:pPr>
        <w:numPr>
          <w:ilvl w:val="0"/>
          <w:numId w:val="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F405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técnicas de </w:t>
      </w:r>
      <w:r w:rsidRPr="00AF4055">
        <w:rPr>
          <w:rFonts w:eastAsia="Times New Roman" w:cs="Times New Roman"/>
          <w:i/>
          <w:iCs/>
          <w:kern w:val="0"/>
          <w:sz w:val="24"/>
          <w:szCs w:val="24"/>
          <w:lang w:eastAsia="pt-PT"/>
          <w14:ligatures w14:val="none"/>
        </w:rPr>
        <w:t>curve fitting</w:t>
      </w:r>
      <w:r w:rsidRPr="00AF405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para danos estruturais. </w:t>
      </w:r>
    </w:p>
    <w:p w14:paraId="6BF572D9" w14:textId="77777777" w:rsidR="00AF4055" w:rsidRPr="00AF4055" w:rsidRDefault="00AF4055" w:rsidP="00AF4055">
      <w:pPr>
        <w:spacing w:before="100" w:beforeAutospacing="1" w:after="100" w:afterAutospacing="1"/>
        <w:ind w:left="72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F405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2024 Power system resilience an…</w:t>
      </w:r>
    </w:p>
    <w:p w14:paraId="4243DFD3" w14:textId="77777777" w:rsidR="00AF4055" w:rsidRPr="00AF4055" w:rsidRDefault="00AF4055" w:rsidP="00AF4055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F4055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AF405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Este é um ponto raríssimo em artigos de revisão e conecta diretamente com:</w:t>
      </w:r>
    </w:p>
    <w:p w14:paraId="40EE7832" w14:textId="77777777" w:rsidR="00AF4055" w:rsidRPr="00AF4055" w:rsidRDefault="00AF4055" w:rsidP="00AF4055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F405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sua modelagem de falha física de linhas;</w:t>
      </w:r>
    </w:p>
    <w:p w14:paraId="1785E823" w14:textId="77777777" w:rsidR="00AF4055" w:rsidRPr="00AF4055" w:rsidRDefault="00AF4055" w:rsidP="00AF4055">
      <w:pPr>
        <w:numPr>
          <w:ilvl w:val="0"/>
          <w:numId w:val="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F405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uso futuro de curvas de fragilidade climática.</w:t>
      </w:r>
    </w:p>
    <w:p w14:paraId="0727559E" w14:textId="77777777" w:rsidR="00AF4055" w:rsidRPr="00AF4055" w:rsidRDefault="00AF4055" w:rsidP="00AF4055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F405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0C3499A3">
          <v:rect id="_x0000_i1028" style="width:0;height:1.5pt" o:hralign="center" o:hrstd="t" o:hr="t" fillcolor="#a0a0a0" stroked="f"/>
        </w:pict>
      </w:r>
    </w:p>
    <w:p w14:paraId="0B0C4C25" w14:textId="77777777" w:rsidR="00AF4055" w:rsidRPr="00AF4055" w:rsidRDefault="00AF4055" w:rsidP="00AF4055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F405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2.3 Base matemática para métricas de vulnerabilidade e resiliência</w:t>
      </w:r>
    </w:p>
    <w:p w14:paraId="71D1CE54" w14:textId="77777777" w:rsidR="00AF4055" w:rsidRPr="00AF4055" w:rsidRDefault="00AF4055" w:rsidP="00AF4055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F405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artigo apresenta:</w:t>
      </w:r>
    </w:p>
    <w:p w14:paraId="18E550C6" w14:textId="77777777" w:rsidR="00AF4055" w:rsidRPr="00AF4055" w:rsidRDefault="00AF4055" w:rsidP="00AF4055">
      <w:pPr>
        <w:numPr>
          <w:ilvl w:val="0"/>
          <w:numId w:val="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F405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índice de vulnerabilidade baseado em degradação de desempenho:</w:t>
      </w:r>
    </w:p>
    <w:p w14:paraId="305870E8" w14:textId="77777777" w:rsidR="00AF4055" w:rsidRPr="00AF4055" w:rsidRDefault="00AF4055" w:rsidP="00AF4055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w:lastRenderedPageBreak/>
            <m:t>ν(CN-k)=</m:t>
          </m:r>
          <m:f>
            <m:fPr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fPr>
            <m:num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∣</m:t>
              </m:r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M-M(CN-k)</m:t>
              </m:r>
              <m:r>
                <m:rPr>
                  <m:sty m:val="p"/>
                </m:r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∣</m:t>
              </m:r>
            </m:num>
            <m:den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M</m:t>
              </m:r>
            </m:den>
          </m:f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w:br/>
          </m:r>
        </m:oMath>
      </m:oMathPara>
    </w:p>
    <w:p w14:paraId="4BF037DE" w14:textId="77777777" w:rsidR="00AF4055" w:rsidRPr="00AF4055" w:rsidRDefault="00AF4055" w:rsidP="00AF4055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AF4055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(p. 264) </w:t>
      </w:r>
    </w:p>
    <w:p w14:paraId="599C1358" w14:textId="77777777" w:rsidR="00AF4055" w:rsidRPr="00AF4055" w:rsidRDefault="00AF4055" w:rsidP="00AF4055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AF4055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2024 Power system resilience an…</w:t>
      </w:r>
    </w:p>
    <w:p w14:paraId="539EECB0" w14:textId="77777777" w:rsidR="00AF4055" w:rsidRPr="00AF4055" w:rsidRDefault="00AF4055" w:rsidP="00AF4055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F405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índices de desempenho de potência ativa e tensão (PIρ e PIV), usados para avaliar contingências e degradação de rede;</w:t>
      </w:r>
    </w:p>
    <w:p w14:paraId="12EAEDFD" w14:textId="77777777" w:rsidR="00AF4055" w:rsidRPr="00AF4055" w:rsidRDefault="00AF4055" w:rsidP="00AF4055">
      <w:pPr>
        <w:numPr>
          <w:ilvl w:val="0"/>
          <w:numId w:val="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F405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definição formal de métricas de resiliência baseadas em área sob curva de desempenho:</w:t>
      </w:r>
    </w:p>
    <w:p w14:paraId="59B8B26A" w14:textId="77777777" w:rsidR="00AF4055" w:rsidRPr="00AF4055" w:rsidRDefault="00AF4055" w:rsidP="00AF4055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m:oMathPara>
        <m:oMath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m:t>R=</m:t>
          </m:r>
          <m:nary>
            <m:naryPr>
              <m:limLoc m:val="subSup"/>
              <m:grow m:val="1"/>
              <m:ctrlP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</m:ctrlPr>
            </m:naryPr>
            <m:sub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t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r</m:t>
                  </m:r>
                </m:sub>
              </m:sSub>
            </m:sub>
            <m:sup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t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r</m:t>
                  </m:r>
                </m:sub>
              </m:sSub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+</m:t>
              </m:r>
              <m:sSub>
                <m:sSubPr>
                  <m:ctrlP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</m:ctrlPr>
                </m:sSubPr>
                <m:e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T</m:t>
                  </m:r>
                </m:e>
                <m:sub>
                  <m:r>
                    <w:rPr>
                      <w:rFonts w:ascii="Cambria Math" w:eastAsia="Times New Roman" w:hAnsi="Cambria Math" w:cs="Times New Roman"/>
                      <w:kern w:val="0"/>
                      <w:sz w:val="24"/>
                      <w:szCs w:val="24"/>
                      <w:lang w:eastAsia="pt-PT"/>
                      <w14:ligatures w14:val="none"/>
                    </w:rPr>
                    <m:t>0</m:t>
                  </m:r>
                </m:sub>
              </m:sSub>
            </m:sup>
            <m:e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F(t)</m:t>
              </m:r>
              <m:r>
                <m:rPr>
                  <m:nor/>
                </m:rPr>
                <w:rPr>
                  <w:rFonts w:eastAsia="Times New Roman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 </m:t>
              </m:r>
              <m:r>
                <w:rPr>
                  <w:rFonts w:ascii="Cambria Math" w:eastAsia="Times New Roman" w:hAnsi="Cambria Math" w:cs="Times New Roman"/>
                  <w:kern w:val="0"/>
                  <w:sz w:val="24"/>
                  <w:szCs w:val="24"/>
                  <w:lang w:eastAsia="pt-PT"/>
                  <w14:ligatures w14:val="none"/>
                </w:rPr>
                <m:t>dt</m:t>
              </m:r>
            </m:e>
          </m:nary>
          <m:r>
            <w:rPr>
              <w:rFonts w:ascii="Cambria Math" w:eastAsia="Times New Roman" w:hAnsi="Cambria Math" w:cs="Times New Roman"/>
              <w:kern w:val="0"/>
              <w:sz w:val="24"/>
              <w:szCs w:val="24"/>
              <w:lang w:eastAsia="pt-PT"/>
              <w14:ligatures w14:val="none"/>
            </w:rPr>
            <w:br/>
          </m:r>
        </m:oMath>
      </m:oMathPara>
    </w:p>
    <w:p w14:paraId="1DA16C7E" w14:textId="77777777" w:rsidR="00AF4055" w:rsidRPr="00AF4055" w:rsidRDefault="00AF4055" w:rsidP="00AF4055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AF4055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 xml:space="preserve">(p. 267) </w:t>
      </w:r>
    </w:p>
    <w:p w14:paraId="54CBEB66" w14:textId="77777777" w:rsidR="00AF4055" w:rsidRPr="00AF4055" w:rsidRDefault="00AF4055" w:rsidP="00AF4055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</w:pPr>
      <w:r w:rsidRPr="00AF4055">
        <w:rPr>
          <w:rFonts w:eastAsia="Times New Roman" w:cs="Times New Roman"/>
          <w:kern w:val="0"/>
          <w:sz w:val="24"/>
          <w:szCs w:val="24"/>
          <w:lang w:val="en-US" w:eastAsia="pt-PT"/>
          <w14:ligatures w14:val="none"/>
        </w:rPr>
        <w:t>2024 Power system resilience an…</w:t>
      </w:r>
    </w:p>
    <w:p w14:paraId="2E1288CA" w14:textId="77777777" w:rsidR="00AF4055" w:rsidRPr="00AF4055" w:rsidRDefault="00AF4055" w:rsidP="00AF4055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F405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Esses modelos são </w:t>
      </w:r>
      <w:r w:rsidRPr="00AF405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exatamente o tipo de base matemática</w:t>
      </w:r>
      <w:r w:rsidRPr="00AF405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que você precisa para justificar seu índice próprio de resiliência das linhas.</w:t>
      </w:r>
    </w:p>
    <w:p w14:paraId="181673F8" w14:textId="77777777" w:rsidR="00AF4055" w:rsidRPr="00AF4055" w:rsidRDefault="00AF4055" w:rsidP="00AF4055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F405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58F6C6FF">
          <v:rect id="_x0000_i1029" style="width:0;height:1.5pt" o:hralign="center" o:hrstd="t" o:hr="t" fillcolor="#a0a0a0" stroked="f"/>
        </w:pict>
      </w:r>
    </w:p>
    <w:p w14:paraId="306BA89E" w14:textId="77777777" w:rsidR="00AF4055" w:rsidRPr="00AF4055" w:rsidRDefault="00AF4055" w:rsidP="00AF4055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F405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2.4 Diferenciação clara entre resiliência operacional e física</w:t>
      </w:r>
    </w:p>
    <w:p w14:paraId="2D307FBB" w14:textId="77777777" w:rsidR="00AF4055" w:rsidRPr="00AF4055" w:rsidRDefault="00AF4055" w:rsidP="00AF4055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F405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artigo estrutura a resiliência em quatro fases:</w:t>
      </w:r>
    </w:p>
    <w:p w14:paraId="38A0E39A" w14:textId="77777777" w:rsidR="00AF4055" w:rsidRPr="00AF4055" w:rsidRDefault="00AF4055" w:rsidP="00AF4055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F405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preparação;</w:t>
      </w:r>
    </w:p>
    <w:p w14:paraId="0F486D68" w14:textId="77777777" w:rsidR="00AF4055" w:rsidRPr="00AF4055" w:rsidRDefault="00AF4055" w:rsidP="00AF4055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F405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resposta;</w:t>
      </w:r>
    </w:p>
    <w:p w14:paraId="6899D5D1" w14:textId="77777777" w:rsidR="00AF4055" w:rsidRPr="00AF4055" w:rsidRDefault="00AF4055" w:rsidP="00AF4055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F405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recuperação;</w:t>
      </w:r>
    </w:p>
    <w:p w14:paraId="70ACA51D" w14:textId="77777777" w:rsidR="00AF4055" w:rsidRPr="00AF4055" w:rsidRDefault="00AF4055" w:rsidP="00AF4055">
      <w:pPr>
        <w:numPr>
          <w:ilvl w:val="0"/>
          <w:numId w:val="10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F405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adaptação contínua (Fig. 12, p. 269). </w:t>
      </w:r>
    </w:p>
    <w:p w14:paraId="2A4742D9" w14:textId="77777777" w:rsidR="00AF4055" w:rsidRPr="00AF4055" w:rsidRDefault="00AF4055" w:rsidP="00AF4055">
      <w:pPr>
        <w:spacing w:before="100" w:beforeAutospacing="1" w:after="100" w:afterAutospacing="1"/>
        <w:ind w:left="720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F405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2024 Power system resilience an…</w:t>
      </w:r>
    </w:p>
    <w:p w14:paraId="0ADC354F" w14:textId="77777777" w:rsidR="00AF4055" w:rsidRPr="00AF4055" w:rsidRDefault="00AF4055" w:rsidP="00AF4055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F405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Isso se encaixa perfeitamente na lógica:</w:t>
      </w:r>
    </w:p>
    <w:p w14:paraId="3CF5CD33" w14:textId="77777777" w:rsidR="00AF4055" w:rsidRPr="00AF4055" w:rsidRDefault="00AF4055" w:rsidP="00AF4055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F405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evento extremo → dano físico → degradação → reparo → recuperação → melhoria.</w:t>
      </w:r>
    </w:p>
    <w:p w14:paraId="3CCDEB87" w14:textId="77777777" w:rsidR="00AF4055" w:rsidRPr="00AF4055" w:rsidRDefault="00AF4055" w:rsidP="00AF4055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F405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0E3D1B1A">
          <v:rect id="_x0000_i1030" style="width:0;height:1.5pt" o:hralign="center" o:hrstd="t" o:hr="t" fillcolor="#a0a0a0" stroked="f"/>
        </w:pict>
      </w:r>
    </w:p>
    <w:p w14:paraId="42D17741" w14:textId="77777777" w:rsidR="00AF4055" w:rsidRPr="00AF4055" w:rsidRDefault="00AF4055" w:rsidP="00AF4055">
      <w:pPr>
        <w:numPr>
          <w:ilvl w:val="0"/>
          <w:numId w:val="11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F405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Limitações para sua tese</w:t>
      </w:r>
    </w:p>
    <w:p w14:paraId="78D8D0F3" w14:textId="77777777" w:rsidR="00AF4055" w:rsidRPr="00AF4055" w:rsidRDefault="00AF4055" w:rsidP="00AF4055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F405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As limitações não são conceituais, mas metodológicas:</w:t>
      </w:r>
    </w:p>
    <w:p w14:paraId="30D50066" w14:textId="77777777" w:rsidR="00AF4055" w:rsidRPr="00AF4055" w:rsidRDefault="00AF4055" w:rsidP="00AF4055">
      <w:pPr>
        <w:numPr>
          <w:ilvl w:val="0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F405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não há aplicação direta a uma linha real;</w:t>
      </w:r>
    </w:p>
    <w:p w14:paraId="767D2849" w14:textId="77777777" w:rsidR="00AF4055" w:rsidRPr="00AF4055" w:rsidRDefault="00AF4055" w:rsidP="00AF4055">
      <w:pPr>
        <w:numPr>
          <w:ilvl w:val="0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F405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não há estudo de caso específico de transmissão;</w:t>
      </w:r>
    </w:p>
    <w:p w14:paraId="3A7F738D" w14:textId="77777777" w:rsidR="00AF4055" w:rsidRPr="00AF4055" w:rsidRDefault="00AF4055" w:rsidP="00AF4055">
      <w:pPr>
        <w:numPr>
          <w:ilvl w:val="0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F405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não há cálculo físico de esforço mecânico em torres ou condutores;</w:t>
      </w:r>
    </w:p>
    <w:p w14:paraId="4680CBF4" w14:textId="77777777" w:rsidR="00AF4055" w:rsidRPr="00AF4055" w:rsidRDefault="00AF4055" w:rsidP="00AF4055">
      <w:pPr>
        <w:numPr>
          <w:ilvl w:val="0"/>
          <w:numId w:val="12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F405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t>é uma revisão, não um modelo operacional implementado.</w:t>
      </w:r>
    </w:p>
    <w:p w14:paraId="561D206A" w14:textId="77777777" w:rsidR="00AF4055" w:rsidRPr="00AF4055" w:rsidRDefault="00AF4055" w:rsidP="00AF4055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F405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Ou seja, não substitui seus artigos de modelagem estrutural, mas </w:t>
      </w:r>
      <w:r w:rsidRPr="00AF405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fundamenta todos eles</w:t>
      </w:r>
      <w:r w:rsidRPr="00AF405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36715501" w14:textId="77777777" w:rsidR="00AF4055" w:rsidRPr="00AF4055" w:rsidRDefault="00AF4055" w:rsidP="00AF4055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F405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59456E97">
          <v:rect id="_x0000_i1031" style="width:0;height:1.5pt" o:hralign="center" o:hrstd="t" o:hr="t" fillcolor="#a0a0a0" stroked="f"/>
        </w:pict>
      </w:r>
    </w:p>
    <w:p w14:paraId="34D6E0AE" w14:textId="77777777" w:rsidR="00AF4055" w:rsidRPr="00AF4055" w:rsidRDefault="00AF4055" w:rsidP="00AF4055">
      <w:pPr>
        <w:numPr>
          <w:ilvl w:val="0"/>
          <w:numId w:val="13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F405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Aderência ao tema da sua tese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541"/>
        <w:gridCol w:w="1611"/>
      </w:tblGrid>
      <w:tr w:rsidR="00AF4055" w:rsidRPr="00AF4055" w14:paraId="3516103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763A78" w14:textId="77777777" w:rsidR="00AF4055" w:rsidRPr="00AF4055" w:rsidRDefault="00AF4055" w:rsidP="00AF4055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AF4055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Critério</w:t>
            </w:r>
          </w:p>
        </w:tc>
        <w:tc>
          <w:tcPr>
            <w:tcW w:w="0" w:type="auto"/>
            <w:vAlign w:val="center"/>
            <w:hideMark/>
          </w:tcPr>
          <w:p w14:paraId="7CADDD77" w14:textId="77777777" w:rsidR="00AF4055" w:rsidRPr="00AF4055" w:rsidRDefault="00AF4055" w:rsidP="00AF4055">
            <w:pPr>
              <w:jc w:val="center"/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</w:pPr>
            <w:r w:rsidRPr="00AF4055">
              <w:rPr>
                <w:rFonts w:eastAsia="Times New Roman" w:cs="Times New Roman"/>
                <w:b/>
                <w:bCs/>
                <w:kern w:val="0"/>
                <w:sz w:val="24"/>
                <w:szCs w:val="24"/>
                <w:lang w:eastAsia="pt-PT"/>
                <w14:ligatures w14:val="none"/>
              </w:rPr>
              <w:t>Avaliação</w:t>
            </w:r>
          </w:p>
        </w:tc>
      </w:tr>
      <w:tr w:rsidR="00AF4055" w:rsidRPr="00AF4055" w14:paraId="6C826F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7832A5" w14:textId="77777777" w:rsidR="00AF4055" w:rsidRPr="00AF4055" w:rsidRDefault="00AF4055" w:rsidP="00AF4055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AF4055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Resiliência de linhas de transmissão</w:t>
            </w:r>
          </w:p>
        </w:tc>
        <w:tc>
          <w:tcPr>
            <w:tcW w:w="0" w:type="auto"/>
            <w:vAlign w:val="center"/>
            <w:hideMark/>
          </w:tcPr>
          <w:p w14:paraId="603BADAB" w14:textId="77777777" w:rsidR="00AF4055" w:rsidRPr="00AF4055" w:rsidRDefault="00AF4055" w:rsidP="00AF4055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AF4055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  <w:r w:rsidRPr="00AF4055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 xml:space="preserve"> (conceitual)</w:t>
            </w:r>
          </w:p>
        </w:tc>
      </w:tr>
      <w:tr w:rsidR="00AF4055" w:rsidRPr="00AF4055" w14:paraId="066696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EE4869" w14:textId="77777777" w:rsidR="00AF4055" w:rsidRPr="00AF4055" w:rsidRDefault="00AF4055" w:rsidP="00AF4055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AF4055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Eventos climáticos extremos</w:t>
            </w:r>
          </w:p>
        </w:tc>
        <w:tc>
          <w:tcPr>
            <w:tcW w:w="0" w:type="auto"/>
            <w:vAlign w:val="center"/>
            <w:hideMark/>
          </w:tcPr>
          <w:p w14:paraId="6A5CD50F" w14:textId="77777777" w:rsidR="00AF4055" w:rsidRPr="00AF4055" w:rsidRDefault="00AF4055" w:rsidP="00AF4055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AF4055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  <w:tr w:rsidR="00AF4055" w:rsidRPr="00AF4055" w14:paraId="1D7EEB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A42A0F" w14:textId="77777777" w:rsidR="00AF4055" w:rsidRPr="00AF4055" w:rsidRDefault="00AF4055" w:rsidP="00AF4055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AF4055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Falha física de infraestrutura</w:t>
            </w:r>
          </w:p>
        </w:tc>
        <w:tc>
          <w:tcPr>
            <w:tcW w:w="0" w:type="auto"/>
            <w:vAlign w:val="center"/>
            <w:hideMark/>
          </w:tcPr>
          <w:p w14:paraId="3CEE4FF9" w14:textId="77777777" w:rsidR="00AF4055" w:rsidRPr="00AF4055" w:rsidRDefault="00AF4055" w:rsidP="00AF4055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AF4055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  <w:tr w:rsidR="00AF4055" w:rsidRPr="00AF4055" w14:paraId="5B0893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0D667D" w14:textId="77777777" w:rsidR="00AF4055" w:rsidRPr="00AF4055" w:rsidRDefault="00AF4055" w:rsidP="00AF4055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AF4055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Fragilidade estrutural</w:t>
            </w:r>
          </w:p>
        </w:tc>
        <w:tc>
          <w:tcPr>
            <w:tcW w:w="0" w:type="auto"/>
            <w:vAlign w:val="center"/>
            <w:hideMark/>
          </w:tcPr>
          <w:p w14:paraId="0221856F" w14:textId="77777777" w:rsidR="00AF4055" w:rsidRPr="00AF4055" w:rsidRDefault="00AF4055" w:rsidP="00AF4055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AF4055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  <w:tr w:rsidR="00AF4055" w:rsidRPr="00AF4055" w14:paraId="23DCF9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30B59A4" w14:textId="77777777" w:rsidR="00AF4055" w:rsidRPr="00AF4055" w:rsidRDefault="00AF4055" w:rsidP="00AF4055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AF4055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Recuperação física e temporal</w:t>
            </w:r>
          </w:p>
        </w:tc>
        <w:tc>
          <w:tcPr>
            <w:tcW w:w="0" w:type="auto"/>
            <w:vAlign w:val="center"/>
            <w:hideMark/>
          </w:tcPr>
          <w:p w14:paraId="157AD228" w14:textId="77777777" w:rsidR="00AF4055" w:rsidRPr="00AF4055" w:rsidRDefault="00AF4055" w:rsidP="00AF4055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AF4055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  <w:tr w:rsidR="00AF4055" w:rsidRPr="00AF4055" w14:paraId="0BE310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5AEECB" w14:textId="77777777" w:rsidR="00AF4055" w:rsidRPr="00AF4055" w:rsidRDefault="00AF4055" w:rsidP="00AF4055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AF4055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Resiliência operacional</w:t>
            </w:r>
          </w:p>
        </w:tc>
        <w:tc>
          <w:tcPr>
            <w:tcW w:w="0" w:type="auto"/>
            <w:vAlign w:val="center"/>
            <w:hideMark/>
          </w:tcPr>
          <w:p w14:paraId="0E87D42A" w14:textId="77777777" w:rsidR="00AF4055" w:rsidRPr="00AF4055" w:rsidRDefault="00AF4055" w:rsidP="00AF4055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AF4055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  <w:tr w:rsidR="00AF4055" w:rsidRPr="00AF4055" w14:paraId="68BE0F6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091FA8" w14:textId="77777777" w:rsidR="00AF4055" w:rsidRPr="00AF4055" w:rsidRDefault="00AF4055" w:rsidP="00AF4055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AF4055"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  <w:t>Base teórica para métricas</w:t>
            </w:r>
          </w:p>
        </w:tc>
        <w:tc>
          <w:tcPr>
            <w:tcW w:w="0" w:type="auto"/>
            <w:vAlign w:val="center"/>
            <w:hideMark/>
          </w:tcPr>
          <w:p w14:paraId="761041ED" w14:textId="77777777" w:rsidR="00AF4055" w:rsidRPr="00AF4055" w:rsidRDefault="00AF4055" w:rsidP="00AF4055">
            <w:pPr>
              <w:rPr>
                <w:rFonts w:eastAsia="Times New Roman" w:cs="Times New Roman"/>
                <w:kern w:val="0"/>
                <w:sz w:val="24"/>
                <w:szCs w:val="24"/>
                <w:lang w:eastAsia="pt-PT"/>
                <w14:ligatures w14:val="none"/>
              </w:rPr>
            </w:pPr>
            <w:r w:rsidRPr="00AF4055">
              <w:rPr>
                <w:rFonts w:ascii="Segoe UI Emoji" w:eastAsia="Times New Roman" w:hAnsi="Segoe UI Emoji" w:cs="Segoe UI Emoji"/>
                <w:kern w:val="0"/>
                <w:sz w:val="24"/>
                <w:szCs w:val="24"/>
                <w:lang w:eastAsia="pt-PT"/>
                <w14:ligatures w14:val="none"/>
              </w:rPr>
              <w:t>✅</w:t>
            </w:r>
          </w:p>
        </w:tc>
      </w:tr>
    </w:tbl>
    <w:p w14:paraId="5E61578D" w14:textId="77777777" w:rsidR="00AF4055" w:rsidRPr="00AF4055" w:rsidRDefault="00AF4055" w:rsidP="00AF4055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F4055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AF405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Aderência direta: </w:t>
      </w:r>
      <w:r w:rsidRPr="00AF405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alta</w:t>
      </w:r>
      <w:r w:rsidRPr="00AF405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</w:r>
      <w:r w:rsidRPr="00AF4055">
        <w:rPr>
          <w:rFonts w:ascii="Segoe UI Symbol" w:eastAsia="Times New Roman" w:hAnsi="Segoe UI Symbol" w:cs="Segoe UI Symbol"/>
          <w:kern w:val="0"/>
          <w:sz w:val="24"/>
          <w:szCs w:val="24"/>
          <w:lang w:eastAsia="pt-PT"/>
          <w14:ligatures w14:val="none"/>
        </w:rPr>
        <w:t>➡</w:t>
      </w:r>
      <w:r w:rsidRPr="00AF405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Aderência estrutural/conceitual: </w:t>
      </w:r>
      <w:r w:rsidRPr="00AF405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altíssima</w:t>
      </w:r>
    </w:p>
    <w:p w14:paraId="5768AF76" w14:textId="77777777" w:rsidR="00AF4055" w:rsidRPr="00AF4055" w:rsidRDefault="00AF4055" w:rsidP="00AF4055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F405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57B06EE5">
          <v:rect id="_x0000_i1032" style="width:0;height:1.5pt" o:hralign="center" o:hrstd="t" o:hr="t" fillcolor="#a0a0a0" stroked="f"/>
        </w:pict>
      </w:r>
    </w:p>
    <w:p w14:paraId="662029A4" w14:textId="77777777" w:rsidR="00AF4055" w:rsidRPr="00AF4055" w:rsidRDefault="00AF4055" w:rsidP="00AF4055">
      <w:pPr>
        <w:numPr>
          <w:ilvl w:val="0"/>
          <w:numId w:val="14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F405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Utilidade real para a sua tese</w:t>
      </w:r>
    </w:p>
    <w:p w14:paraId="7AEA685E" w14:textId="77777777" w:rsidR="00AF4055" w:rsidRPr="00AF4055" w:rsidRDefault="00AF4055" w:rsidP="00AF4055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F405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Este artigo é perfeito para:</w:t>
      </w:r>
    </w:p>
    <w:p w14:paraId="0DB2DEA7" w14:textId="77777777" w:rsidR="00AF4055" w:rsidRPr="00AF4055" w:rsidRDefault="00AF4055" w:rsidP="00AF4055">
      <w:pPr>
        <w:numPr>
          <w:ilvl w:val="0"/>
          <w:numId w:val="1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F405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Introdução teórica do capítulo de resiliência;</w:t>
      </w:r>
    </w:p>
    <w:p w14:paraId="221473ED" w14:textId="77777777" w:rsidR="00AF4055" w:rsidRPr="00AF4055" w:rsidRDefault="00AF4055" w:rsidP="00AF4055">
      <w:pPr>
        <w:numPr>
          <w:ilvl w:val="0"/>
          <w:numId w:val="1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F405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Justificativa da necessidade de índices próprios de resiliência;</w:t>
      </w:r>
    </w:p>
    <w:p w14:paraId="05B01AFA" w14:textId="77777777" w:rsidR="00AF4055" w:rsidRPr="00AF4055" w:rsidRDefault="00AF4055" w:rsidP="00AF4055">
      <w:pPr>
        <w:numPr>
          <w:ilvl w:val="0"/>
          <w:numId w:val="1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F405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Diferenciação formal entre confiabilidade e resiliência;</w:t>
      </w:r>
    </w:p>
    <w:p w14:paraId="50078E0F" w14:textId="77777777" w:rsidR="00AF4055" w:rsidRPr="00AF4055" w:rsidRDefault="00AF4055" w:rsidP="00AF4055">
      <w:pPr>
        <w:numPr>
          <w:ilvl w:val="0"/>
          <w:numId w:val="1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F405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Fundamentação do uso de curvas de fragilidade;</w:t>
      </w:r>
    </w:p>
    <w:p w14:paraId="4CE1B9DA" w14:textId="77777777" w:rsidR="00AF4055" w:rsidRPr="00AF4055" w:rsidRDefault="00AF4055" w:rsidP="00AF4055">
      <w:pPr>
        <w:numPr>
          <w:ilvl w:val="0"/>
          <w:numId w:val="1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F405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Base para sua definição de “Resiliência das Linhas de Transmissão”;</w:t>
      </w:r>
    </w:p>
    <w:p w14:paraId="0AA3C953" w14:textId="77777777" w:rsidR="00AF4055" w:rsidRPr="00AF4055" w:rsidRDefault="00AF4055" w:rsidP="00AF4055">
      <w:pPr>
        <w:numPr>
          <w:ilvl w:val="0"/>
          <w:numId w:val="15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F405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Amarração com clima, sustentabilidade e infraestrutura crítica.</w:t>
      </w:r>
    </w:p>
    <w:p w14:paraId="486F228F" w14:textId="77777777" w:rsidR="00AF4055" w:rsidRPr="00AF4055" w:rsidRDefault="00AF4055" w:rsidP="00AF4055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F405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Ele é um </w:t>
      </w:r>
      <w:r w:rsidRPr="00AF405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artigo-pilar conceitual</w:t>
      </w:r>
      <w:r w:rsidRPr="00AF405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6A8DA4A2" w14:textId="77777777" w:rsidR="00AF4055" w:rsidRPr="00AF4055" w:rsidRDefault="00AF4055" w:rsidP="00AF4055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F405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269B3171">
          <v:rect id="_x0000_i1033" style="width:0;height:1.5pt" o:hralign="center" o:hrstd="t" o:hr="t" fillcolor="#a0a0a0" stroked="f"/>
        </w:pict>
      </w:r>
    </w:p>
    <w:p w14:paraId="56F1CF24" w14:textId="77777777" w:rsidR="00AF4055" w:rsidRPr="00AF4055" w:rsidRDefault="00AF4055" w:rsidP="00AF4055">
      <w:pPr>
        <w:numPr>
          <w:ilvl w:val="0"/>
          <w:numId w:val="16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F405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Decisão final</w:t>
      </w:r>
    </w:p>
    <w:p w14:paraId="15A46E53" w14:textId="77777777" w:rsidR="00AF4055" w:rsidRPr="00AF4055" w:rsidRDefault="00AF4055" w:rsidP="00AF4055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F4055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✅</w:t>
      </w:r>
      <w:r w:rsidRPr="00AF405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</w:t>
      </w:r>
      <w:r w:rsidRPr="00AF405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DECISÃO: GUARDAR NO CORPUS PRINCIPAL DA TESE</w:t>
      </w:r>
    </w:p>
    <w:p w14:paraId="60291C40" w14:textId="77777777" w:rsidR="00AF4055" w:rsidRPr="00AF4055" w:rsidRDefault="00AF4055" w:rsidP="00AF4055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F405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Justificativa:</w:t>
      </w:r>
      <w:r w:rsidRPr="00AF405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>Este artigo fornece a espinha dorsal teórica e metodológica da área de resiliência em sistemas elétricos. Ele legitima cientificamente:</w:t>
      </w:r>
    </w:p>
    <w:p w14:paraId="242DA2A3" w14:textId="77777777" w:rsidR="00AF4055" w:rsidRPr="00AF4055" w:rsidRDefault="00AF4055" w:rsidP="00AF4055">
      <w:pPr>
        <w:numPr>
          <w:ilvl w:val="0"/>
          <w:numId w:val="1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F405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uso de fragilidade física;</w:t>
      </w:r>
    </w:p>
    <w:p w14:paraId="05C50376" w14:textId="77777777" w:rsidR="00AF4055" w:rsidRPr="00AF4055" w:rsidRDefault="00AF4055" w:rsidP="00AF4055">
      <w:pPr>
        <w:numPr>
          <w:ilvl w:val="0"/>
          <w:numId w:val="1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F405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a separação entre confiabilidade e resiliência;</w:t>
      </w:r>
    </w:p>
    <w:p w14:paraId="72227AD7" w14:textId="77777777" w:rsidR="00AF4055" w:rsidRPr="00AF4055" w:rsidRDefault="00AF4055" w:rsidP="00AF4055">
      <w:pPr>
        <w:numPr>
          <w:ilvl w:val="0"/>
          <w:numId w:val="1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F405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lastRenderedPageBreak/>
        <w:t>a abordagem baseada em desempenho temporal;</w:t>
      </w:r>
    </w:p>
    <w:p w14:paraId="2FCF740E" w14:textId="77777777" w:rsidR="00AF4055" w:rsidRPr="00AF4055" w:rsidRDefault="00AF4055" w:rsidP="00AF4055">
      <w:pPr>
        <w:numPr>
          <w:ilvl w:val="0"/>
          <w:numId w:val="17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F405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o tratamento de eventos climáticos extremos como HILP.</w:t>
      </w:r>
    </w:p>
    <w:p w14:paraId="44A410EE" w14:textId="77777777" w:rsidR="00AF4055" w:rsidRPr="00AF4055" w:rsidRDefault="00AF4055" w:rsidP="00AF4055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F405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2AC48542">
          <v:rect id="_x0000_i1034" style="width:0;height:1.5pt" o:hralign="center" o:hrstd="t" o:hr="t" fillcolor="#a0a0a0" stroked="f"/>
        </w:pict>
      </w:r>
    </w:p>
    <w:p w14:paraId="652A5E1D" w14:textId="77777777" w:rsidR="00AF4055" w:rsidRPr="00AF4055" w:rsidRDefault="00AF4055" w:rsidP="00AF4055">
      <w:pPr>
        <w:numPr>
          <w:ilvl w:val="0"/>
          <w:numId w:val="18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F405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Classificação resumida (para a tabela)</w:t>
      </w:r>
    </w:p>
    <w:p w14:paraId="25696EB4" w14:textId="77777777" w:rsidR="00AF4055" w:rsidRPr="00AF4055" w:rsidRDefault="00AF4055" w:rsidP="00AF4055">
      <w:pPr>
        <w:numPr>
          <w:ilvl w:val="0"/>
          <w:numId w:val="1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F405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Decisão: </w:t>
      </w:r>
      <w:r w:rsidRPr="00AF405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Guardado</w:t>
      </w:r>
    </w:p>
    <w:p w14:paraId="58C8C602" w14:textId="77777777" w:rsidR="00AF4055" w:rsidRPr="00AF4055" w:rsidRDefault="00AF4055" w:rsidP="00AF4055">
      <w:pPr>
        <w:numPr>
          <w:ilvl w:val="0"/>
          <w:numId w:val="1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F405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Foco: Revisão completa sobre resiliência, vulnerabilidade física, métricas de resiliência e estratégias para infraestrutura elétrica sustentável</w:t>
      </w:r>
    </w:p>
    <w:p w14:paraId="296113AB" w14:textId="77777777" w:rsidR="00AF4055" w:rsidRPr="00AF4055" w:rsidRDefault="00AF4055" w:rsidP="00AF4055">
      <w:pPr>
        <w:numPr>
          <w:ilvl w:val="0"/>
          <w:numId w:val="1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F405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Nível de importância: </w:t>
      </w:r>
      <w:r w:rsidRPr="00AF405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Altíssimo</w:t>
      </w:r>
    </w:p>
    <w:p w14:paraId="0C3C51E7" w14:textId="77777777" w:rsidR="00AF4055" w:rsidRPr="00AF4055" w:rsidRDefault="00AF4055" w:rsidP="00AF4055">
      <w:pPr>
        <w:numPr>
          <w:ilvl w:val="0"/>
          <w:numId w:val="1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F405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Ponto da tese:</w:t>
      </w:r>
    </w:p>
    <w:p w14:paraId="011EC90A" w14:textId="77777777" w:rsidR="00AF4055" w:rsidRPr="00AF4055" w:rsidRDefault="00AF4055" w:rsidP="00AF4055">
      <w:pPr>
        <w:numPr>
          <w:ilvl w:val="1"/>
          <w:numId w:val="1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F405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Contextualização</w:t>
      </w:r>
    </w:p>
    <w:p w14:paraId="15132800" w14:textId="77777777" w:rsidR="00AF4055" w:rsidRPr="00AF4055" w:rsidRDefault="00AF4055" w:rsidP="00AF4055">
      <w:pPr>
        <w:numPr>
          <w:ilvl w:val="1"/>
          <w:numId w:val="1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F405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Revisão da literatura</w:t>
      </w:r>
    </w:p>
    <w:p w14:paraId="1AF257A7" w14:textId="77777777" w:rsidR="00AF4055" w:rsidRPr="00AF4055" w:rsidRDefault="00AF4055" w:rsidP="00AF4055">
      <w:pPr>
        <w:numPr>
          <w:ilvl w:val="1"/>
          <w:numId w:val="1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F405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Resiliência dos sistemas elétricos</w:t>
      </w:r>
    </w:p>
    <w:p w14:paraId="5E1963DE" w14:textId="77777777" w:rsidR="00AF4055" w:rsidRPr="00AF4055" w:rsidRDefault="00AF4055" w:rsidP="00AF4055">
      <w:pPr>
        <w:numPr>
          <w:ilvl w:val="1"/>
          <w:numId w:val="1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F405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Justificativa da escolha</w:t>
      </w:r>
    </w:p>
    <w:p w14:paraId="0F1914B4" w14:textId="77777777" w:rsidR="00AF4055" w:rsidRPr="00AF4055" w:rsidRDefault="00AF4055" w:rsidP="00AF4055">
      <w:pPr>
        <w:numPr>
          <w:ilvl w:val="1"/>
          <w:numId w:val="1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F405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Lacuna encontrada</w:t>
      </w:r>
    </w:p>
    <w:p w14:paraId="503BFF7A" w14:textId="77777777" w:rsidR="00AF4055" w:rsidRPr="00AF4055" w:rsidRDefault="00AF4055" w:rsidP="00AF4055">
      <w:pPr>
        <w:numPr>
          <w:ilvl w:val="0"/>
          <w:numId w:val="19"/>
        </w:num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F405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Pontuação (Resiliência das Linhas de Transmissão): </w:t>
      </w:r>
      <w:r w:rsidRPr="00AF405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9,5 / 10</w:t>
      </w:r>
    </w:p>
    <w:p w14:paraId="28C4CD1A" w14:textId="77777777" w:rsidR="00AF4055" w:rsidRPr="00AF4055" w:rsidRDefault="00AF4055" w:rsidP="00AF4055">
      <w:pPr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F405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pict w14:anchorId="5038FA36">
          <v:rect id="_x0000_i1035" style="width:0;height:1.5pt" o:hralign="center" o:hrstd="t" o:hr="t" fillcolor="#a0a0a0" stroked="f"/>
        </w:pict>
      </w:r>
    </w:p>
    <w:p w14:paraId="20FD39DC" w14:textId="77777777" w:rsidR="00AF4055" w:rsidRPr="00AF4055" w:rsidRDefault="00AF4055" w:rsidP="00AF4055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F4055">
        <w:rPr>
          <w:rFonts w:ascii="Segoe UI Emoji" w:eastAsia="Times New Roman" w:hAnsi="Segoe UI Emoji" w:cs="Segoe UI Emoji"/>
          <w:kern w:val="0"/>
          <w:sz w:val="24"/>
          <w:szCs w:val="24"/>
          <w:lang w:eastAsia="pt-PT"/>
          <w14:ligatures w14:val="none"/>
        </w:rPr>
        <w:t>📌</w:t>
      </w:r>
      <w:r w:rsidRPr="00AF405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Síntese final</w:t>
      </w:r>
    </w:p>
    <w:p w14:paraId="2DA1777A" w14:textId="77777777" w:rsidR="00AF4055" w:rsidRPr="00AF4055" w:rsidRDefault="00AF4055" w:rsidP="00AF4055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F405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Este artigo não resolve o problema técnico da sua tese.</w:t>
      </w:r>
      <w:r w:rsidRPr="00AF405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br/>
        <w:t xml:space="preserve">Ele define </w:t>
      </w:r>
      <w:r w:rsidRPr="00AF405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por que o seu problema existe</w:t>
      </w:r>
      <w:r w:rsidRPr="00AF405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 xml:space="preserve"> e </w:t>
      </w:r>
      <w:r w:rsidRPr="00AF4055">
        <w:rPr>
          <w:rFonts w:eastAsia="Times New Roman" w:cs="Times New Roman"/>
          <w:b/>
          <w:bCs/>
          <w:kern w:val="0"/>
          <w:sz w:val="24"/>
          <w:szCs w:val="24"/>
          <w:lang w:eastAsia="pt-PT"/>
          <w14:ligatures w14:val="none"/>
        </w:rPr>
        <w:t>como a ciência internacional o enxerga</w:t>
      </w:r>
      <w:r w:rsidRPr="00AF405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.</w:t>
      </w:r>
    </w:p>
    <w:p w14:paraId="267152E5" w14:textId="77777777" w:rsidR="00AF4055" w:rsidRPr="00AF4055" w:rsidRDefault="00AF4055" w:rsidP="00AF4055">
      <w:pPr>
        <w:spacing w:before="100" w:beforeAutospacing="1" w:after="100" w:afterAutospacing="1"/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</w:pPr>
      <w:r w:rsidRPr="00AF4055">
        <w:rPr>
          <w:rFonts w:eastAsia="Times New Roman" w:cs="Times New Roman"/>
          <w:kern w:val="0"/>
          <w:sz w:val="24"/>
          <w:szCs w:val="24"/>
          <w:lang w:eastAsia="pt-PT"/>
          <w14:ligatures w14:val="none"/>
        </w:rPr>
        <w:t>É exatamente o tipo de referência que um orientador espera ver no início de um doutoramento sólido.</w:t>
      </w:r>
    </w:p>
    <w:p w14:paraId="76A90281" w14:textId="77777777" w:rsidR="00DB1784" w:rsidRPr="00AF4055" w:rsidRDefault="00DB1784"/>
    <w:sectPr w:rsidR="00DB1784" w:rsidRPr="00AF4055" w:rsidSect="00B7282F">
      <w:pgSz w:w="11906" w:h="16838" w:code="9"/>
      <w:pgMar w:top="1440" w:right="1457" w:bottom="1355" w:left="1797" w:header="720" w:footer="68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BC7553"/>
    <w:multiLevelType w:val="multilevel"/>
    <w:tmpl w:val="786405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8B6F98"/>
    <w:multiLevelType w:val="multilevel"/>
    <w:tmpl w:val="DEC6CD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AD68AC"/>
    <w:multiLevelType w:val="multilevel"/>
    <w:tmpl w:val="AC8E64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1D340E"/>
    <w:multiLevelType w:val="multilevel"/>
    <w:tmpl w:val="8D301452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B5B19F2"/>
    <w:multiLevelType w:val="multilevel"/>
    <w:tmpl w:val="01E880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66D2977"/>
    <w:multiLevelType w:val="multilevel"/>
    <w:tmpl w:val="DC30BFFA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6884400"/>
    <w:multiLevelType w:val="multilevel"/>
    <w:tmpl w:val="DF14B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80314F6"/>
    <w:multiLevelType w:val="multilevel"/>
    <w:tmpl w:val="B59812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F4A2947"/>
    <w:multiLevelType w:val="multilevel"/>
    <w:tmpl w:val="A914D8C2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C9E0826"/>
    <w:multiLevelType w:val="multilevel"/>
    <w:tmpl w:val="79C88D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CDF5E15"/>
    <w:multiLevelType w:val="multilevel"/>
    <w:tmpl w:val="25CC6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4034CD9"/>
    <w:multiLevelType w:val="multilevel"/>
    <w:tmpl w:val="DEBECD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9C9307D"/>
    <w:multiLevelType w:val="multilevel"/>
    <w:tmpl w:val="DFAEBE5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BEC4117"/>
    <w:multiLevelType w:val="multilevel"/>
    <w:tmpl w:val="9F109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5E969CA"/>
    <w:multiLevelType w:val="multilevel"/>
    <w:tmpl w:val="602E2500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B2C3F0A"/>
    <w:multiLevelType w:val="multilevel"/>
    <w:tmpl w:val="6C0CA8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D384973"/>
    <w:multiLevelType w:val="multilevel"/>
    <w:tmpl w:val="EC065F5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9F878A8"/>
    <w:multiLevelType w:val="multilevel"/>
    <w:tmpl w:val="0AE8AB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E0D7E1C"/>
    <w:multiLevelType w:val="multilevel"/>
    <w:tmpl w:val="9516E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56447506">
    <w:abstractNumId w:val="17"/>
  </w:num>
  <w:num w:numId="2" w16cid:durableId="1008601560">
    <w:abstractNumId w:val="15"/>
  </w:num>
  <w:num w:numId="3" w16cid:durableId="1156652061">
    <w:abstractNumId w:val="13"/>
  </w:num>
  <w:num w:numId="4" w16cid:durableId="402216743">
    <w:abstractNumId w:val="8"/>
  </w:num>
  <w:num w:numId="5" w16cid:durableId="629752282">
    <w:abstractNumId w:val="6"/>
  </w:num>
  <w:num w:numId="6" w16cid:durableId="1941717433">
    <w:abstractNumId w:val="4"/>
  </w:num>
  <w:num w:numId="7" w16cid:durableId="1985349328">
    <w:abstractNumId w:val="2"/>
  </w:num>
  <w:num w:numId="8" w16cid:durableId="1357345304">
    <w:abstractNumId w:val="0"/>
  </w:num>
  <w:num w:numId="9" w16cid:durableId="106587430">
    <w:abstractNumId w:val="10"/>
  </w:num>
  <w:num w:numId="10" w16cid:durableId="252514766">
    <w:abstractNumId w:val="11"/>
  </w:num>
  <w:num w:numId="11" w16cid:durableId="1196187564">
    <w:abstractNumId w:val="5"/>
  </w:num>
  <w:num w:numId="12" w16cid:durableId="171384032">
    <w:abstractNumId w:val="1"/>
  </w:num>
  <w:num w:numId="13" w16cid:durableId="276104648">
    <w:abstractNumId w:val="16"/>
  </w:num>
  <w:num w:numId="14" w16cid:durableId="1978873350">
    <w:abstractNumId w:val="12"/>
  </w:num>
  <w:num w:numId="15" w16cid:durableId="157574483">
    <w:abstractNumId w:val="7"/>
  </w:num>
  <w:num w:numId="16" w16cid:durableId="1913273827">
    <w:abstractNumId w:val="14"/>
  </w:num>
  <w:num w:numId="17" w16cid:durableId="1669288">
    <w:abstractNumId w:val="18"/>
  </w:num>
  <w:num w:numId="18" w16cid:durableId="1721056411">
    <w:abstractNumId w:val="3"/>
  </w:num>
  <w:num w:numId="19" w16cid:durableId="183757764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9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B1784"/>
    <w:rsid w:val="000131F2"/>
    <w:rsid w:val="00050A60"/>
    <w:rsid w:val="0007293B"/>
    <w:rsid w:val="0008424C"/>
    <w:rsid w:val="00096FFB"/>
    <w:rsid w:val="000C5A52"/>
    <w:rsid w:val="000C625D"/>
    <w:rsid w:val="000D45BD"/>
    <w:rsid w:val="00172112"/>
    <w:rsid w:val="00172264"/>
    <w:rsid w:val="00196796"/>
    <w:rsid w:val="001F4610"/>
    <w:rsid w:val="0022366E"/>
    <w:rsid w:val="0024739D"/>
    <w:rsid w:val="00285BB1"/>
    <w:rsid w:val="002A63F1"/>
    <w:rsid w:val="002F61AF"/>
    <w:rsid w:val="00347332"/>
    <w:rsid w:val="00386732"/>
    <w:rsid w:val="00393441"/>
    <w:rsid w:val="0039444F"/>
    <w:rsid w:val="003F704C"/>
    <w:rsid w:val="004234AF"/>
    <w:rsid w:val="00423B9B"/>
    <w:rsid w:val="00435A17"/>
    <w:rsid w:val="004B5BB7"/>
    <w:rsid w:val="004E20B1"/>
    <w:rsid w:val="00502614"/>
    <w:rsid w:val="005272F0"/>
    <w:rsid w:val="0055062B"/>
    <w:rsid w:val="00595B01"/>
    <w:rsid w:val="005C7A7F"/>
    <w:rsid w:val="0061413D"/>
    <w:rsid w:val="006363A1"/>
    <w:rsid w:val="006B4413"/>
    <w:rsid w:val="006E78DB"/>
    <w:rsid w:val="00744A15"/>
    <w:rsid w:val="00785F46"/>
    <w:rsid w:val="007E0455"/>
    <w:rsid w:val="007E69F0"/>
    <w:rsid w:val="00804B85"/>
    <w:rsid w:val="008226B2"/>
    <w:rsid w:val="008C0D5E"/>
    <w:rsid w:val="009B0300"/>
    <w:rsid w:val="00A04542"/>
    <w:rsid w:val="00A74270"/>
    <w:rsid w:val="00A773DD"/>
    <w:rsid w:val="00A91291"/>
    <w:rsid w:val="00A94B20"/>
    <w:rsid w:val="00AA4524"/>
    <w:rsid w:val="00AC5231"/>
    <w:rsid w:val="00AD743E"/>
    <w:rsid w:val="00AF4055"/>
    <w:rsid w:val="00B023F4"/>
    <w:rsid w:val="00B30ED7"/>
    <w:rsid w:val="00B7282F"/>
    <w:rsid w:val="00B753F9"/>
    <w:rsid w:val="00B7708D"/>
    <w:rsid w:val="00B811CD"/>
    <w:rsid w:val="00B873AE"/>
    <w:rsid w:val="00BC1242"/>
    <w:rsid w:val="00BD2C19"/>
    <w:rsid w:val="00BF51C6"/>
    <w:rsid w:val="00C03A12"/>
    <w:rsid w:val="00CA1292"/>
    <w:rsid w:val="00CC6B35"/>
    <w:rsid w:val="00CE4C5C"/>
    <w:rsid w:val="00D25A09"/>
    <w:rsid w:val="00D36EA1"/>
    <w:rsid w:val="00D63D8E"/>
    <w:rsid w:val="00DB1784"/>
    <w:rsid w:val="00E26197"/>
    <w:rsid w:val="00E2772A"/>
    <w:rsid w:val="00E5575A"/>
    <w:rsid w:val="00ED59D0"/>
    <w:rsid w:val="00EF273B"/>
    <w:rsid w:val="00F27993"/>
    <w:rsid w:val="00F7611F"/>
    <w:rsid w:val="00F77278"/>
    <w:rsid w:val="00FE0A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1CBE47"/>
  <w15:chartTrackingRefBased/>
  <w15:docId w15:val="{5FBC7DE0-60BE-43AA-98A8-13925566D2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023F4"/>
    <w:pPr>
      <w:spacing w:after="0" w:line="240" w:lineRule="auto"/>
    </w:pPr>
    <w:rPr>
      <w:rFonts w:ascii="Times New Roman" w:hAnsi="Times New Roman"/>
      <w:kern w:val="2"/>
    </w:rPr>
  </w:style>
  <w:style w:type="paragraph" w:styleId="Heading1">
    <w:name w:val="heading 1"/>
    <w:basedOn w:val="Normal"/>
    <w:next w:val="Normal"/>
    <w:link w:val="Heading1Char"/>
    <w:uiPriority w:val="9"/>
    <w:qFormat/>
    <w:rsid w:val="00B7708D"/>
    <w:pPr>
      <w:keepNext/>
      <w:keepLines/>
      <w:spacing w:before="480"/>
      <w:outlineLvl w:val="0"/>
    </w:pPr>
    <w:rPr>
      <w:rFonts w:eastAsiaTheme="majorEastAsia" w:cstheme="majorBidi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7708D"/>
    <w:pPr>
      <w:keepNext/>
      <w:keepLines/>
      <w:spacing w:before="200"/>
      <w:outlineLvl w:val="1"/>
    </w:pPr>
    <w:rPr>
      <w:rFonts w:eastAsiaTheme="majorEastAsia" w:cstheme="majorBidi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7708D"/>
    <w:pPr>
      <w:keepNext/>
      <w:keepLines/>
      <w:spacing w:before="200"/>
      <w:outlineLvl w:val="2"/>
    </w:pPr>
    <w:rPr>
      <w:rFonts w:eastAsiaTheme="majorEastAsia" w:cstheme="majorBidi"/>
      <w:b/>
      <w:bCs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7708D"/>
    <w:pPr>
      <w:keepNext/>
      <w:keepLines/>
      <w:spacing w:before="200"/>
      <w:outlineLvl w:val="3"/>
    </w:pPr>
    <w:rPr>
      <w:rFonts w:eastAsiaTheme="majorEastAsia" w:cstheme="majorBidi"/>
      <w:b/>
      <w:bCs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B178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B1784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B1784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B1784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B1784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708D"/>
    <w:rPr>
      <w:rFonts w:ascii="Times New Roman" w:eastAsiaTheme="majorEastAsia" w:hAnsi="Times New Roman" w:cstheme="majorBidi"/>
      <w:b/>
      <w:bCs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B7708D"/>
    <w:rPr>
      <w:rFonts w:ascii="Times New Roman" w:eastAsiaTheme="majorEastAsia" w:hAnsi="Times New Roman" w:cstheme="majorBidi"/>
      <w:b/>
      <w:bCs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7708D"/>
    <w:rPr>
      <w:rFonts w:ascii="Times New Roman" w:eastAsiaTheme="majorEastAsia" w:hAnsi="Times New Roman" w:cstheme="majorBidi"/>
      <w:b/>
      <w:bCs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7708D"/>
    <w:rPr>
      <w:rFonts w:ascii="Times New Roman" w:eastAsiaTheme="majorEastAsia" w:hAnsi="Times New Roman" w:cstheme="majorBidi"/>
      <w:b/>
      <w:bCs/>
      <w:i/>
      <w:iCs/>
    </w:rPr>
  </w:style>
  <w:style w:type="paragraph" w:styleId="Title">
    <w:name w:val="Title"/>
    <w:basedOn w:val="Normal"/>
    <w:next w:val="Normal"/>
    <w:link w:val="TitleChar"/>
    <w:uiPriority w:val="10"/>
    <w:qFormat/>
    <w:rsid w:val="00B7708D"/>
    <w:pPr>
      <w:pBdr>
        <w:bottom w:val="single" w:sz="8" w:space="4" w:color="auto"/>
      </w:pBdr>
      <w:spacing w:after="300"/>
      <w:contextualSpacing/>
    </w:pPr>
    <w:rPr>
      <w:rFonts w:eastAsiaTheme="majorEastAsia" w:cstheme="majorBidi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B7708D"/>
    <w:rPr>
      <w:rFonts w:ascii="Times New Roman" w:eastAsiaTheme="majorEastAsia" w:hAnsi="Times New Roman" w:cstheme="majorBidi"/>
      <w:spacing w:val="5"/>
      <w:kern w:val="28"/>
      <w:sz w:val="3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708D"/>
    <w:pPr>
      <w:numPr>
        <w:ilvl w:val="1"/>
      </w:numPr>
    </w:pPr>
    <w:rPr>
      <w:rFonts w:eastAsiaTheme="majorEastAsia" w:cstheme="majorBidi"/>
      <w:i/>
      <w:iCs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7708D"/>
    <w:rPr>
      <w:rFonts w:ascii="Times New Roman" w:eastAsiaTheme="majorEastAsia" w:hAnsi="Times New Roman" w:cstheme="majorBidi"/>
      <w:i/>
      <w:iCs/>
      <w:spacing w:val="15"/>
      <w:sz w:val="24"/>
      <w:szCs w:val="24"/>
    </w:rPr>
  </w:style>
  <w:style w:type="paragraph" w:styleId="Quote">
    <w:name w:val="Quote"/>
    <w:basedOn w:val="Normal"/>
    <w:next w:val="Normal"/>
    <w:link w:val="QuoteChar"/>
    <w:uiPriority w:val="29"/>
    <w:qFormat/>
    <w:rsid w:val="00B7708D"/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B7708D"/>
    <w:rPr>
      <w:rFonts w:ascii="Times New Roman" w:hAnsi="Times New Roman"/>
      <w:i/>
      <w:iCs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B1784"/>
    <w:rPr>
      <w:rFonts w:eastAsiaTheme="majorEastAsia" w:cstheme="majorBidi"/>
      <w:color w:val="0F4761" w:themeColor="accent1" w:themeShade="BF"/>
      <w:kern w:val="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B1784"/>
    <w:rPr>
      <w:rFonts w:eastAsiaTheme="majorEastAsia" w:cstheme="majorBidi"/>
      <w:i/>
      <w:iCs/>
      <w:color w:val="595959" w:themeColor="text1" w:themeTint="A6"/>
      <w:kern w:val="2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B1784"/>
    <w:rPr>
      <w:rFonts w:eastAsiaTheme="majorEastAsia" w:cstheme="majorBidi"/>
      <w:color w:val="595959" w:themeColor="text1" w:themeTint="A6"/>
      <w:kern w:val="2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B1784"/>
    <w:rPr>
      <w:rFonts w:eastAsiaTheme="majorEastAsia" w:cstheme="majorBidi"/>
      <w:i/>
      <w:iCs/>
      <w:color w:val="272727" w:themeColor="text1" w:themeTint="D8"/>
      <w:kern w:val="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B1784"/>
    <w:rPr>
      <w:rFonts w:eastAsiaTheme="majorEastAsia" w:cstheme="majorBidi"/>
      <w:color w:val="272727" w:themeColor="text1" w:themeTint="D8"/>
      <w:kern w:val="2"/>
    </w:rPr>
  </w:style>
  <w:style w:type="paragraph" w:styleId="ListParagraph">
    <w:name w:val="List Paragraph"/>
    <w:basedOn w:val="Normal"/>
    <w:uiPriority w:val="34"/>
    <w:qFormat/>
    <w:rsid w:val="00DB17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B17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B17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B1784"/>
    <w:rPr>
      <w:rFonts w:ascii="Times New Roman" w:hAnsi="Times New Roman"/>
      <w:i/>
      <w:iCs/>
      <w:color w:val="0F4761" w:themeColor="accent1" w:themeShade="BF"/>
      <w:kern w:val="2"/>
    </w:rPr>
  </w:style>
  <w:style w:type="character" w:styleId="IntenseReference">
    <w:name w:val="Intense Reference"/>
    <w:basedOn w:val="DefaultParagraphFont"/>
    <w:uiPriority w:val="32"/>
    <w:qFormat/>
    <w:rsid w:val="00DB1784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F4055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pt-PT"/>
      <w14:ligatures w14:val="none"/>
    </w:rPr>
  </w:style>
  <w:style w:type="character" w:styleId="Emphasis">
    <w:name w:val="Emphasis"/>
    <w:basedOn w:val="DefaultParagraphFont"/>
    <w:uiPriority w:val="20"/>
    <w:qFormat/>
    <w:rsid w:val="00AF4055"/>
    <w:rPr>
      <w:i/>
      <w:iCs/>
    </w:rPr>
  </w:style>
  <w:style w:type="character" w:customStyle="1" w:styleId="relative">
    <w:name w:val="relative"/>
    <w:basedOn w:val="DefaultParagraphFont"/>
    <w:rsid w:val="00AF4055"/>
  </w:style>
  <w:style w:type="paragraph" w:customStyle="1" w:styleId="not-prose">
    <w:name w:val="not-prose"/>
    <w:basedOn w:val="Normal"/>
    <w:rsid w:val="00AF4055"/>
    <w:pPr>
      <w:spacing w:before="100" w:beforeAutospacing="1" w:after="100" w:afterAutospacing="1"/>
    </w:pPr>
    <w:rPr>
      <w:rFonts w:eastAsia="Times New Roman" w:cs="Times New Roman"/>
      <w:kern w:val="0"/>
      <w:sz w:val="24"/>
      <w:szCs w:val="24"/>
      <w:lang w:eastAsia="pt-PT"/>
      <w14:ligatures w14:val="none"/>
    </w:rPr>
  </w:style>
  <w:style w:type="character" w:styleId="Strong">
    <w:name w:val="Strong"/>
    <w:basedOn w:val="DefaultParagraphFont"/>
    <w:uiPriority w:val="22"/>
    <w:qFormat/>
    <w:rsid w:val="00AF4055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932</Words>
  <Characters>5039</Characters>
  <Application>Microsoft Office Word</Application>
  <DocSecurity>0</DocSecurity>
  <Lines>41</Lines>
  <Paragraphs>11</Paragraphs>
  <ScaleCrop>false</ScaleCrop>
  <Company/>
  <LinksUpToDate>false</LinksUpToDate>
  <CharactersWithSpaces>5960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Paulo Oliveira</dc:creator>
  <cp:keywords/>
  <dc:description/>
  <cp:lastModifiedBy>Paulo Oliveira</cp:lastModifiedBy>
  <cp:revision>2</cp:revision>
  <dcterms:created xsi:type="dcterms:W3CDTF">2026-01-11T21:30:00Z</dcterms:created>
  <dcterms:modified xsi:type="dcterms:W3CDTF">2026-01-11T21:30:00Z</dcterms:modified>
</cp:coreProperties>
</file>