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3272" w14:textId="3D62AB7C" w:rsidR="00AC5231" w:rsidRDefault="00F669A9">
      <w:pPr>
        <w:rPr>
          <w:lang w:val="en-US"/>
        </w:rPr>
      </w:pPr>
      <w:r w:rsidRPr="00F669A9">
        <w:rPr>
          <w:lang w:val="en-US"/>
        </w:rPr>
        <w:t>2024 Regional Frequency Stability Constrained Resilience Enhancement Strategies for Distribution Systems with Flexible Energy Resources-IEEE</w:t>
      </w:r>
    </w:p>
    <w:p w14:paraId="2BAE1EF5" w14:textId="77777777" w:rsidR="00F669A9" w:rsidRDefault="00F669A9">
      <w:pPr>
        <w:rPr>
          <w:lang w:val="en-US"/>
        </w:rPr>
      </w:pPr>
    </w:p>
    <w:p w14:paraId="4FAF38A4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101CBFA7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Regional Frequency Stability Constrained Resilience Enhancement Strategies for Distribution Systems with Flexible Energy Resources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Yang Hongkun; Wang Xu; Jiang Chuanwen; Wang Yushan; Chen Qizhen; Wu Hanxiao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 IEEE/IAS Industrial and Commercial Power System Asia (I&amp;CPS Asia) — DOI: 10.1109/ICPSASIA61913.2024.10761452 </w:t>
      </w:r>
    </w:p>
    <w:p w14:paraId="39F11580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0D2B34D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2A5918">
          <v:rect id="_x0000_i1025" style="width:0;height:1.5pt" o:hralign="center" o:hrstd="t" o:hr="t" fillcolor="#a0a0a0" stroked="f"/>
        </w:pict>
      </w:r>
    </w:p>
    <w:p w14:paraId="5E358F13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47BEC0B7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IEEE com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proposição metodológica + estudo de caso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33-bus), focado em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reforço de resiliência em redes de distribuição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alocação e mobilidade de recursos flexíveis (DGs 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Mobile Energy Storage Systems — MESS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incorporando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dinâmicas de estabilidade de frequência regional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(ROCOF e nadir). </w:t>
      </w:r>
    </w:p>
    <w:p w14:paraId="7BF40D22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5CA8DDB1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A8E980">
          <v:rect id="_x0000_i1026" style="width:0;height:1.5pt" o:hralign="center" o:hrstd="t" o:hr="t" fillcolor="#a0a0a0" stroked="f"/>
        </w:pict>
      </w:r>
    </w:p>
    <w:p w14:paraId="554DB162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209ACD87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distribuição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extremos (falhas de linhas provocadas por tempo severo), com ênfase em:</w:t>
      </w:r>
    </w:p>
    <w:p w14:paraId="6DCB6E1C" w14:textId="77777777" w:rsidR="00F13C49" w:rsidRPr="00F13C49" w:rsidRDefault="00F13C49" w:rsidP="00F13C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definido como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por corte de carga (load shedding)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integrada no tempo (área entre curvas), ponderada por custo de shedding. (Fig. 1 e Eq. (1), p.2). </w:t>
      </w:r>
    </w:p>
    <w:p w14:paraId="304C1F9C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3656BD3" w14:textId="77777777" w:rsidR="00F13C49" w:rsidRPr="00F13C49" w:rsidRDefault="00F13C49" w:rsidP="00F13C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MILP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objetivo bi-critério: reduzir custo do shedding + custo de implantação/uso de MESS (Eq. (2), p.2). </w:t>
      </w:r>
    </w:p>
    <w:p w14:paraId="14E67AC9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690131AE" w14:textId="77777777" w:rsidR="00F13C49" w:rsidRPr="00F13C49" w:rsidRDefault="00F13C49" w:rsidP="00F13C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explícita de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dinâmicas de frequência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ilhamento por abertura de linhas: modelagem via equações de swing inter-região (Eqs. (11)–(15), p.4) 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linearização por regressão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restrições de ROCOF e nadir (Sec. III-B, Eqs. (18)–(22), p.4). </w:t>
      </w:r>
    </w:p>
    <w:p w14:paraId="6DDBD70B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2024 Regional Frequency Stabili…</w:t>
      </w:r>
    </w:p>
    <w:p w14:paraId="25D5C459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“núcleo” é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operacional/planeamento em distribuição + estabilidade de frequência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a resiliência física/estrutural de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DA4DD8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12B00A">
          <v:rect id="_x0000_i1027" style="width:0;height:1.5pt" o:hralign="center" o:hrstd="t" o:hr="t" fillcolor="#a0a0a0" stroked="f"/>
        </w:pict>
      </w:r>
    </w:p>
    <w:p w14:paraId="15E92433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(o que realmente acrescenta)</w:t>
      </w:r>
    </w:p>
    <w:p w14:paraId="2C1E6C01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Modelagem de resiliência (métrica operacional)</w:t>
      </w:r>
    </w:p>
    <w:p w14:paraId="26223409" w14:textId="77777777" w:rsidR="00F13C49" w:rsidRPr="00F13C49" w:rsidRDefault="00F13C49" w:rsidP="00F13C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resiliência como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acumulado de corte de carga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intervalo do evento (Tf a Tr), com classificação de cargas por criticidade/custo (p.2). </w:t>
      </w:r>
    </w:p>
    <w:p w14:paraId="093316AA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7F91FA0" w14:textId="77777777" w:rsidR="00F13C49" w:rsidRPr="00F13C49" w:rsidRDefault="00F13C49" w:rsidP="00F13C49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(métricas de resiliência baseadas em load shedding), mas aplicado em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3EE283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Alocação/mobilidade de MESS e restrições espaciais</w:t>
      </w:r>
    </w:p>
    <w:p w14:paraId="3684ADEE" w14:textId="77777777" w:rsidR="00F13C49" w:rsidRPr="00F13C49" w:rsidRDefault="00F13C49" w:rsidP="00F13C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SOC, potência, limites de carga/descarga 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de mobilidade em grelha (gridified)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(Eqs. (5)–(7), p.3), incluindo limites de investimento e custo por distância. </w:t>
      </w:r>
    </w:p>
    <w:p w14:paraId="1B11647F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549183C" w14:textId="77777777" w:rsidR="00F13C49" w:rsidRPr="00F13C49" w:rsidRDefault="00F13C49" w:rsidP="00F13C49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metodologicamente interessante (otimização com recursos móveis), porém distante do foco “LT”.</w:t>
      </w:r>
    </w:p>
    <w:p w14:paraId="60335CD5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Estabilidade de frequência regional como restrição de resiliência</w:t>
      </w:r>
    </w:p>
    <w:p w14:paraId="2D7D4992" w14:textId="77777777" w:rsidR="00F13C49" w:rsidRPr="00F13C49" w:rsidRDefault="00F13C49" w:rsidP="00F13C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mais “diferente” do comum em papers de resiliência em distribuição: incorpora dinâmica de frequência (ROCOF e nadir) no modelo de despacho/alocação, com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linearização via simulação + regressão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manter o problema como MILP (p.4–5). </w:t>
      </w:r>
    </w:p>
    <w:p w14:paraId="3A7C38FC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4AA2F84F" w14:textId="77777777" w:rsidR="00F13C49" w:rsidRPr="00F13C49" w:rsidRDefault="00F13C49" w:rsidP="00F13C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que ignorar frequência pode violar limites; com restrições, mantém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nadir ≥ 49,2 Hz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ROCOF ≤ 1 Hz/s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(descrição da Fig. 9, p.7). </w:t>
      </w:r>
    </w:p>
    <w:p w14:paraId="691CC397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F887058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ser aproveitado para discutir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 critérios dinâmicos pós-evento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(frequência), mas novamente no contexto de distribuição/ilhamento.</w:t>
      </w:r>
    </w:p>
    <w:p w14:paraId="004A9672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4F82F9F">
          <v:rect id="_x0000_i1028" style="width:0;height:1.5pt" o:hralign="center" o:hrstd="t" o:hr="t" fillcolor="#a0a0a0" stroked="f"/>
        </w:pict>
      </w:r>
    </w:p>
    <w:p w14:paraId="487A48EA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tema “Resiliência das Linhas de Transmissão”</w:t>
      </w:r>
    </w:p>
    <w:p w14:paraId="164C0703" w14:textId="77777777" w:rsidR="00F13C49" w:rsidRPr="00F13C49" w:rsidRDefault="00F13C49" w:rsidP="00F13C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do sistema: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 33-bus (distribuição), não linhas de transmissão. </w:t>
      </w:r>
    </w:p>
    <w:p w14:paraId="7DB5C352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41131AB3" w14:textId="77777777" w:rsidR="00F13C49" w:rsidRPr="00F13C49" w:rsidRDefault="00F13C49" w:rsidP="00F13C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tratado como gatilho para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hipotéticas de linhas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III, p.5), e o próprio texto afirma que a modelagem meteorológica/falhas por clima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foco do artigo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14F40CE3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19F1B5B" w14:textId="77777777" w:rsidR="00F13C49" w:rsidRPr="00F13C49" w:rsidRDefault="00F13C49" w:rsidP="00F13C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fragilidade física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torres/condutores, sem mecanismos vento/gelo/incêndio/temperatura ligados a probabilidade de falha/reparo.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LT resilience “física + temporal” (fragilidade, dano, restauro), este trabalho é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E9696A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47C540">
          <v:rect id="_x0000_i1029" style="width:0;height:1.5pt" o:hralign="center" o:hrstd="t" o:hr="t" fillcolor="#a0a0a0" stroked="f"/>
        </w:pict>
      </w:r>
    </w:p>
    <w:p w14:paraId="387E1559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(onde encaixa)</w:t>
      </w:r>
    </w:p>
    <w:p w14:paraId="5805CB53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Encaixa melhor em:</w:t>
      </w:r>
    </w:p>
    <w:p w14:paraId="715620BE" w14:textId="77777777" w:rsidR="00F13C49" w:rsidRPr="00F13C49" w:rsidRDefault="00F13C49" w:rsidP="00F13C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métricas de resiliência baseadas em load shedding e estratégias de reforço com recursos flexíveis. </w:t>
      </w:r>
    </w:p>
    <w:p w14:paraId="103300F4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FB841B9" w14:textId="77777777" w:rsidR="00F13C49" w:rsidRPr="00F13C49" w:rsidRDefault="00F13C49" w:rsidP="00F13C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(apenas como inspiração/apoio): uso de MILP + linearização de restrições dinâmicas (ROCOF/nadir) por simulação/regressão. </w:t>
      </w:r>
    </w:p>
    <w:p w14:paraId="2ABE08B6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5760F1ED" w14:textId="77777777" w:rsidR="00F13C49" w:rsidRPr="00F13C49" w:rsidRDefault="00F13C49" w:rsidP="00F13C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(secundária): relação entre eventos extremos → falhas → ilhamento → requisitos de estabilidade de frequência. </w:t>
      </w:r>
    </w:p>
    <w:p w14:paraId="3D2DF9B3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27D11162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apropriado como base central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índice específico de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(falta elo clima→dano físico→reparação→recuperação).</w:t>
      </w:r>
    </w:p>
    <w:p w14:paraId="1A94AFC6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66DD98">
          <v:rect id="_x0000_i1030" style="width:0;height:1.5pt" o:hralign="center" o:hrstd="t" o:hr="t" fillcolor="#a0a0a0" stroked="f"/>
        </w:pict>
      </w:r>
    </w:p>
    <w:p w14:paraId="55280A3B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Figuras e tabelas (descrição técnica objetiva)</w:t>
      </w:r>
    </w:p>
    <w:p w14:paraId="7C1D6853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Fig. 1 (p.2):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diagrama de avaliação de resiliência como área de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 shedding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 tempo (base do índice R). </w:t>
      </w:r>
    </w:p>
    <w:p w14:paraId="0F3831C4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9D9D82F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fluxo em camadas da estratégia (alocação DERs → restrições → solução ótima). </w:t>
      </w:r>
    </w:p>
    <w:p w14:paraId="354774D1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11594594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topologia IEEE 33-bus usada no estudo de caso. </w:t>
      </w:r>
    </w:p>
    <w:p w14:paraId="28CEF577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26ABA0A3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cenário sob “extreme weather” com regiões/áreas afetadas (representação espacial dos impactos). </w:t>
      </w:r>
    </w:p>
    <w:p w14:paraId="213E4EDB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6E63DF87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parâmetros dos DGs (faixas de potência, rampas, nós). </w:t>
      </w:r>
    </w:p>
    <w:p w14:paraId="0883322F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2C28FD88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parâmetros dos MESS (potência, SOC, capacidade e nós). </w:t>
      </w:r>
    </w:p>
    <w:p w14:paraId="3B9316AF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14DA0DF8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III (p.5):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falhas فرضadas (linhas 13–14, 27–18, 4–5 e tempos). </w:t>
      </w:r>
    </w:p>
    <w:p w14:paraId="0C56A722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3567421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IV (p.6):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comparação económica (capacidade MESS, custo, shedding, índice R, custo total) entre métodos. </w:t>
      </w:r>
    </w:p>
    <w:p w14:paraId="56B1F958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4B7796B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Figs. 5–7 (p.6):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comparação de outputs dos DGs e shedding entre métodos/tempos (efeito de alocação e critérios). </w:t>
      </w:r>
    </w:p>
    <w:p w14:paraId="0DB9A630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26292846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8 (p.7):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estados/potências de carga/descarga de MESS ao longo do tempo e por nó. </w:t>
      </w:r>
    </w:p>
    <w:p w14:paraId="13FADF0C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1A4B8C21" w14:textId="77777777" w:rsidR="00F13C49" w:rsidRPr="00F13C49" w:rsidRDefault="00F13C49" w:rsidP="00F13C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9 (p.7):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frequência (Simulink) mostrando ROCOF e nadir vs limites, comparando método com/sem restrição dinâmica. </w:t>
      </w:r>
    </w:p>
    <w:p w14:paraId="5F4B8D60" w14:textId="77777777" w:rsidR="00F13C49" w:rsidRPr="00F13C49" w:rsidRDefault="00F13C49" w:rsidP="00F13C4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707B8F56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1501D03">
          <v:rect id="_x0000_i1031" style="width:0;height:1.5pt" o:hralign="center" o:hrstd="t" o:hr="t" fillcolor="#a0a0a0" stroked="f"/>
        </w:pict>
      </w:r>
    </w:p>
    <w:p w14:paraId="4F36D2EC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e classificação (para a tabela)</w:t>
      </w:r>
    </w:p>
    <w:p w14:paraId="05468B2B" w14:textId="77777777" w:rsidR="00F13C49" w:rsidRPr="00F13C49" w:rsidRDefault="00F13C49" w:rsidP="00F13C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(como apoio metodológico e revisão de resiliência + restrições dinâmicas)</w:t>
      </w:r>
    </w:p>
    <w:p w14:paraId="7E55A584" w14:textId="77777777" w:rsidR="00F13C49" w:rsidRPr="00F13C49" w:rsidRDefault="00F13C49" w:rsidP="00F13C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em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FER/MESS e restrições regionais de frequência (ROCOF/nadir) via MILP e linearização por regressão</w:t>
      </w:r>
    </w:p>
    <w:p w14:paraId="36BBC24C" w14:textId="77777777" w:rsidR="00F13C49" w:rsidRPr="00F13C49" w:rsidRDefault="00F13C49" w:rsidP="00F13C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5C19B580" w14:textId="77777777" w:rsidR="00F13C49" w:rsidRPr="00F13C49" w:rsidRDefault="00F13C49" w:rsidP="00F13C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Metodologia adotada; Contextualização</w:t>
      </w:r>
    </w:p>
    <w:p w14:paraId="6154CBCF" w14:textId="77777777" w:rsidR="00F13C49" w:rsidRPr="00F13C49" w:rsidRDefault="00F13C49" w:rsidP="00F13C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0D1BBC03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75BB41">
          <v:rect id="_x0000_i1032" style="width:0;height:1.5pt" o:hralign="center" o:hrstd="t" o:hr="t" fillcolor="#a0a0a0" stroked="f"/>
        </w:pict>
      </w:r>
    </w:p>
    <w:p w14:paraId="7C088392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6DAC78FD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Y. Hongkun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., “Regional Frequency Stability Constrained Resilience Enhancement Strategies for Distribution Systems with Flexible Energy Resources,” in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2024 IEEE/IAS I&amp;CPS Asia</w:t>
      </w:r>
      <w:r w:rsidRPr="00F13C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2024, doi: 10.1109/ICPSASIA61913.2024.10761452. </w:t>
      </w:r>
    </w:p>
    <w:p w14:paraId="0CAA72FB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Regional Frequency Stabili…</w:t>
      </w:r>
    </w:p>
    <w:p w14:paraId="0209BE69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Fontes</w:t>
      </w:r>
    </w:p>
    <w:p w14:paraId="4ADA709A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GPT, tem certeza desta avaliação?</w:t>
      </w:r>
    </w:p>
    <w:p w14:paraId="391E8F1A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Pensou por 10s</w:t>
      </w:r>
    </w:p>
    <w:p w14:paraId="6464AA0A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 —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 parte “qualitativa” (foco/encaixe/limitações)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eu tenho segurança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porque o próprio artigo declara e demonstra que:</w:t>
      </w:r>
    </w:p>
    <w:p w14:paraId="04DC3A6C" w14:textId="77777777" w:rsidR="00F13C49" w:rsidRPr="00F13C49" w:rsidRDefault="00F13C49" w:rsidP="00F13C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É um estudo de </w:t>
      </w:r>
      <w:r w:rsidRPr="00F13C49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distribuição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33-bus distribution system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valida a proposta nesse sistema.</w:t>
      </w:r>
    </w:p>
    <w:p w14:paraId="0FB9ED38" w14:textId="77777777" w:rsidR="00F13C49" w:rsidRPr="00F13C49" w:rsidRDefault="00F13C49" w:rsidP="00F13C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de resiliência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operacional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(perda por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 shedding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integrada no tempo) — Fig. 1 e Eq. (1).</w:t>
      </w:r>
    </w:p>
    <w:p w14:paraId="6ACE48B8" w14:textId="77777777" w:rsidR="00F13C49" w:rsidRPr="00F13C49" w:rsidRDefault="00F13C49" w:rsidP="00F13C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contribuição central é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incluir restrições dinâmicas de frequência (ROCOF + nadir)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modelo de resiliência 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linearizá-las por regressão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manter o MILP — Sec. III-B, Eqs. (18)–(22).</w:t>
      </w:r>
    </w:p>
    <w:p w14:paraId="06C8B0B6" w14:textId="77777777" w:rsidR="00F13C49" w:rsidRPr="00F13C49" w:rsidRDefault="00F13C49" w:rsidP="00F13C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paper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assume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cenários de falha e afirma explicitamente que “extreme weather e impacto em falhas”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o foco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monta um cenário hipotético com falhas 13–14, 27–18 e 4–5.</w:t>
      </w:r>
    </w:p>
    <w:p w14:paraId="5C2FDEF4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quatro pontos sustentam a minha conclusão de que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artigo “núcleo” para resiliência física de LT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serve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(i) revisão de literatura de métricas operacionais e (ii) metodologia de restrições dinâmicas de frequência em problemas de resiliência.</w:t>
      </w:r>
    </w:p>
    <w:p w14:paraId="33891042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9D8B2C">
          <v:rect id="_x0000_i1033" style="width:0;height:1.5pt" o:hralign="center" o:hrstd="t" o:hr="t" fillcolor="#a0a0a0" stroked="f"/>
        </w:pict>
      </w:r>
    </w:p>
    <w:p w14:paraId="2C4170BF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Onde eu NÃO tenho “certeza absoluta”</w:t>
      </w:r>
    </w:p>
    <w:p w14:paraId="658F0EC6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que pode ser discutido é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decisão Guardar/Descartar e a nota 4,5/10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porque isso depende do seu critério de “o que vale ficar no corpus” (se você está guardando também </w:t>
      </w:r>
      <w:r w:rsidRPr="00F13C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pedaços metodológicos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sistêmica/operacional, ou só LT física/fragilidade).</w:t>
      </w:r>
    </w:p>
    <w:p w14:paraId="3C36B565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Se o seu corpus de 2024 for “apenas LT (transmissão) + clima→dano físico→reparo”</w:t>
      </w:r>
    </w:p>
    <w:p w14:paraId="19D9BA03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Então tecnicamente eu ajustaria para:</w:t>
      </w:r>
    </w:p>
    <w:p w14:paraId="50C1C228" w14:textId="77777777" w:rsidR="00F13C49" w:rsidRPr="00F13C49" w:rsidRDefault="00F13C49" w:rsidP="00F13C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Descartado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(do corpus principal)</w:t>
      </w:r>
    </w:p>
    <w:p w14:paraId="344253CC" w14:textId="77777777" w:rsidR="00F13C49" w:rsidRPr="00F13C49" w:rsidRDefault="00F13C49" w:rsidP="00F13C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(LT resilience): 3,5–4,0/10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porque ele não trata de fragilidade/recuperação física de LT e é centrado em distribuição.</w:t>
      </w:r>
    </w:p>
    <w:p w14:paraId="6F9575B9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Se você estiver guardando também “metodologias úteis de resiliência”</w:t>
      </w:r>
    </w:p>
    <w:p w14:paraId="53D23863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Aí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faz sentido, mas como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apoio secundário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a nota 4,5/10 fica defensável por causa da contribuição de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ROCOF/nadir via regressão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integração com o MILP (algo que pode inspirar parte do seu índice/modelo).</w:t>
      </w:r>
    </w:p>
    <w:p w14:paraId="42CA034F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F0F9AA">
          <v:rect id="_x0000_i1034" style="width:0;height:1.5pt" o:hralign="center" o:hrstd="t" o:hr="t" fillcolor="#a0a0a0" stroked="f"/>
        </w:pict>
      </w:r>
    </w:p>
    <w:p w14:paraId="5AEDC344" w14:textId="77777777" w:rsidR="00F13C49" w:rsidRPr="00F13C49" w:rsidRDefault="00F13C49" w:rsidP="00F13C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Verificação objetiva (um “checklist” do próprio paper)</w:t>
      </w:r>
    </w:p>
    <w:p w14:paraId="6E68F22C" w14:textId="77777777" w:rsidR="00F13C49" w:rsidRPr="00F13C49" w:rsidRDefault="00F13C49" w:rsidP="00F13C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 33-node distribution system </w:t>
      </w: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4B1F8675" w14:textId="77777777" w:rsidR="00F13C49" w:rsidRPr="00F13C49" w:rsidRDefault="00F13C49" w:rsidP="00F13C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área/custo de shedding no tempo </w:t>
      </w: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137615BE" w14:textId="77777777" w:rsidR="00F13C49" w:rsidRPr="00F13C49" w:rsidRDefault="00F13C49" w:rsidP="00F13C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citados, mas modelagem climática não é foco </w:t>
      </w: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342CC855" w14:textId="77777777" w:rsidR="00F13C49" w:rsidRPr="00F13C49" w:rsidRDefault="00F13C49" w:rsidP="00F13C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Frequência: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limites e validação (nadir ≥ 49,2 Hz; ROCOF ≤ 1 Hz/s) </w:t>
      </w:r>
      <w:r w:rsidRPr="00F13C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</w:p>
    <w:p w14:paraId="350E2219" w14:textId="77777777" w:rsidR="00F13C49" w:rsidRPr="00F13C49" w:rsidRDefault="00F13C49" w:rsidP="00F13C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A6D110">
          <v:rect id="_x0000_i1035" style="width:0;height:1.5pt" o:hralign="center" o:hrstd="t" o:hr="t" fillcolor="#a0a0a0" stroked="f"/>
        </w:pict>
      </w:r>
    </w:p>
    <w:p w14:paraId="7A3EDBEA" w14:textId="77777777" w:rsidR="00F13C49" w:rsidRPr="00F13C49" w:rsidRDefault="00F13C49" w:rsidP="00F13C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Minha resposta direta à sua pergunta</w:t>
      </w:r>
    </w:p>
    <w:p w14:paraId="5887A11C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Tenho certeza do diagnóstico técnico (foco/limitações/onde encaixa).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única parte “discutível” é a política de “Guardar” e a nota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porque depende se você quer manter artigos de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operacional/metodológica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 quando não são LT.</w:t>
      </w:r>
    </w:p>
    <w:p w14:paraId="663C87CF" w14:textId="77777777" w:rsidR="00F13C49" w:rsidRPr="00F13C49" w:rsidRDefault="00F13C49" w:rsidP="00F13C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me disser (em 1 linha) qual é a regra para 2024 —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“guardar só LT física”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“guardar também método útil”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eu fixo a decisão e a nota </w:t>
      </w:r>
      <w:r w:rsidRPr="00F13C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ambiguidade</w:t>
      </w:r>
      <w:r w:rsidRPr="00F13C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já preparo a linha da tabela desse grupo.</w:t>
      </w:r>
    </w:p>
    <w:p w14:paraId="10505AD1" w14:textId="77777777" w:rsidR="00F669A9" w:rsidRPr="00F669A9" w:rsidRDefault="00F669A9">
      <w:pPr>
        <w:rPr>
          <w:lang w:val="en-US"/>
        </w:rPr>
      </w:pPr>
    </w:p>
    <w:sectPr w:rsidR="00F669A9" w:rsidRPr="00F669A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9F9"/>
    <w:multiLevelType w:val="multilevel"/>
    <w:tmpl w:val="C43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784"/>
    <w:multiLevelType w:val="multilevel"/>
    <w:tmpl w:val="F7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19AF"/>
    <w:multiLevelType w:val="multilevel"/>
    <w:tmpl w:val="1BFE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860F8"/>
    <w:multiLevelType w:val="multilevel"/>
    <w:tmpl w:val="A6A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E4FC7"/>
    <w:multiLevelType w:val="multilevel"/>
    <w:tmpl w:val="80E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7C6D"/>
    <w:multiLevelType w:val="multilevel"/>
    <w:tmpl w:val="902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3083D"/>
    <w:multiLevelType w:val="multilevel"/>
    <w:tmpl w:val="63FE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B4575"/>
    <w:multiLevelType w:val="multilevel"/>
    <w:tmpl w:val="D79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2839"/>
    <w:multiLevelType w:val="multilevel"/>
    <w:tmpl w:val="AFE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521D"/>
    <w:multiLevelType w:val="multilevel"/>
    <w:tmpl w:val="EE4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D2F52"/>
    <w:multiLevelType w:val="multilevel"/>
    <w:tmpl w:val="12C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0792">
    <w:abstractNumId w:val="4"/>
  </w:num>
  <w:num w:numId="2" w16cid:durableId="1550148630">
    <w:abstractNumId w:val="9"/>
  </w:num>
  <w:num w:numId="3" w16cid:durableId="1213032952">
    <w:abstractNumId w:val="10"/>
  </w:num>
  <w:num w:numId="4" w16cid:durableId="1332491861">
    <w:abstractNumId w:val="7"/>
  </w:num>
  <w:num w:numId="5" w16cid:durableId="101809123">
    <w:abstractNumId w:val="2"/>
  </w:num>
  <w:num w:numId="6" w16cid:durableId="847907470">
    <w:abstractNumId w:val="3"/>
  </w:num>
  <w:num w:numId="7" w16cid:durableId="1809930070">
    <w:abstractNumId w:val="1"/>
  </w:num>
  <w:num w:numId="8" w16cid:durableId="1757631094">
    <w:abstractNumId w:val="8"/>
  </w:num>
  <w:num w:numId="9" w16cid:durableId="1419213451">
    <w:abstractNumId w:val="6"/>
  </w:num>
  <w:num w:numId="10" w16cid:durableId="1098065566">
    <w:abstractNumId w:val="0"/>
  </w:num>
  <w:num w:numId="11" w16cid:durableId="607856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A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13C49"/>
    <w:rsid w:val="00F27993"/>
    <w:rsid w:val="00F669A9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6D4A3"/>
  <w15:chartTrackingRefBased/>
  <w15:docId w15:val="{ED7396E6-3FE8-4748-908D-CBD5F9BD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A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A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A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A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A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6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A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669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3C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13C49"/>
    <w:rPr>
      <w:b/>
      <w:bCs/>
    </w:rPr>
  </w:style>
  <w:style w:type="character" w:styleId="Emphasis">
    <w:name w:val="Emphasis"/>
    <w:basedOn w:val="DefaultParagraphFont"/>
    <w:uiPriority w:val="20"/>
    <w:qFormat/>
    <w:rsid w:val="00F13C49"/>
    <w:rPr>
      <w:i/>
      <w:iCs/>
    </w:rPr>
  </w:style>
  <w:style w:type="character" w:customStyle="1" w:styleId="relative">
    <w:name w:val="relative"/>
    <w:basedOn w:val="DefaultParagraphFont"/>
    <w:rsid w:val="00F13C49"/>
  </w:style>
  <w:style w:type="paragraph" w:customStyle="1" w:styleId="not-prose">
    <w:name w:val="not-prose"/>
    <w:basedOn w:val="Normal"/>
    <w:rsid w:val="00F13C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min-w-0">
    <w:name w:val="min-w-0"/>
    <w:basedOn w:val="DefaultParagraphFont"/>
    <w:rsid w:val="00F13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1494</Words>
  <Characters>8070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2026-01-11T22:08:00Z</dcterms:created>
  <dcterms:modified xsi:type="dcterms:W3CDTF">2026-01-11T22:09:00Z</dcterms:modified>
</cp:coreProperties>
</file>