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C218" w14:textId="156B68D5" w:rsidR="00AC5231" w:rsidRDefault="00183D47">
      <w:pPr>
        <w:rPr>
          <w:lang w:val="en-US"/>
        </w:rPr>
      </w:pPr>
      <w:r w:rsidRPr="00183D47">
        <w:rPr>
          <w:lang w:val="en-US"/>
        </w:rPr>
        <w:t>2024 Resilience-oriented Transmission Expansion Planning with Optimal Transmission Switching Under Typhoon Weather-IEEE</w:t>
      </w:r>
    </w:p>
    <w:p w14:paraId="0474D87B" w14:textId="77777777" w:rsidR="00183D47" w:rsidRDefault="00183D47">
      <w:pPr>
        <w:rPr>
          <w:lang w:val="en-US"/>
        </w:rPr>
      </w:pPr>
    </w:p>
    <w:p w14:paraId="54583E43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 (2024)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Resilience-oriented Transmission Expansion Planning with Optimal Transmission Switching Under Typhoon Weather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Yang Yuan; Heng Zhang; Haozhong Cheng; Zheng Wang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CSEE Journal of Power and Energy Systems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10, n.º 1, pp. 129–138, Jan. 2024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10.17775/CSEEJPES.2021.07840 </w:t>
      </w:r>
    </w:p>
    <w:p w14:paraId="58596ED3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79FD705D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89C298">
          <v:rect id="_x0000_i1025" style="width:0;height:1.5pt" o:hralign="center" o:hrstd="t" o:hr="t" fillcolor="#a0a0a0" stroked="f"/>
        </w:pict>
      </w:r>
    </w:p>
    <w:p w14:paraId="0ACC8637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345AB25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modelo de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Expansão da Transmissão orientado à Resiliência (RTEP)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integrado com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 Transmission Switching (OTS)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de tufão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incorporando explicitamente:</w:t>
      </w:r>
    </w:p>
    <w:p w14:paraId="02C38901" w14:textId="77777777" w:rsidR="002227DB" w:rsidRPr="002227DB" w:rsidRDefault="002227DB" w:rsidP="002227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do evento climático extremo (tufão) via modelo de Batts;</w:t>
      </w:r>
    </w:p>
    <w:p w14:paraId="226BA7AF" w14:textId="77777777" w:rsidR="002227DB" w:rsidRPr="002227DB" w:rsidRDefault="002227DB" w:rsidP="002227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probabilística de vulnerabilidade das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0CA086" w14:textId="77777777" w:rsidR="002227DB" w:rsidRPr="002227DB" w:rsidRDefault="002227DB" w:rsidP="002227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incerteza da taxa de falha através de um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box uncertainty set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da intensidade do tufão;</w:t>
      </w:r>
    </w:p>
    <w:p w14:paraId="5A76E4C8" w14:textId="77777777" w:rsidR="002227DB" w:rsidRPr="002227DB" w:rsidRDefault="002227DB" w:rsidP="002227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min–max–min para minimizar investimento e minimizar a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Worst-Case Expected Load Shedding (WCEL)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33BE06" w14:textId="77777777" w:rsidR="002227DB" w:rsidRPr="002227DB" w:rsidRDefault="002227DB" w:rsidP="002227D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clara entre:</w:t>
      </w:r>
    </w:p>
    <w:p w14:paraId="420DBF33" w14:textId="77777777" w:rsidR="002227DB" w:rsidRPr="002227DB" w:rsidRDefault="002227DB" w:rsidP="002227D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de longo prazo (TEP),</w:t>
      </w:r>
    </w:p>
    <w:p w14:paraId="246CEB42" w14:textId="77777777" w:rsidR="002227DB" w:rsidRPr="002227DB" w:rsidRDefault="002227DB" w:rsidP="002227D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de curto prazo (OTS e despacho).</w:t>
      </w:r>
    </w:p>
    <w:p w14:paraId="018A13C1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de transmissão frente a eventos climáticos extremos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núcleo do seu tema de tese.</w:t>
      </w:r>
    </w:p>
    <w:p w14:paraId="29247F3F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FB107F">
          <v:rect id="_x0000_i1026" style="width:0;height:1.5pt" o:hralign="center" o:hrstd="t" o:hr="t" fillcolor="#a0a0a0" stroked="f"/>
        </w:pict>
      </w:r>
    </w:p>
    <w:p w14:paraId="78326D33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19436A6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Cadeia completa: clima → vulnerabilidade → falha</w:t>
      </w:r>
    </w:p>
    <w:p w14:paraId="6E015CF0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constrói explicitamente:</w:t>
      </w:r>
    </w:p>
    <w:p w14:paraId="45574CD6" w14:textId="77777777" w:rsidR="002227DB" w:rsidRPr="002227DB" w:rsidRDefault="002227DB" w:rsidP="002227D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do tufão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de Batts):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Equações (1)–(4), pág. 131 </w:t>
      </w:r>
    </w:p>
    <w:p w14:paraId="412B8C14" w14:textId="77777777" w:rsidR="002227DB" w:rsidRPr="002227DB" w:rsidRDefault="002227DB" w:rsidP="002227D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3EA9A90B" w14:textId="77777777" w:rsidR="002227DB" w:rsidRPr="002227DB" w:rsidRDefault="002227DB" w:rsidP="002227D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vulnerabilidade das linhas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na velocidade do vento:</w:t>
      </w:r>
    </w:p>
    <w:p w14:paraId="0DC6D34E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d>
                      <m:dPr>
                        <m:begChr m:val="["/>
                        <m:sepChr m:val="+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κ</m:t>
                        </m:r>
                        <m:d>
                          <m:dPr>
                            <m:sepChr m:val="−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1</m:t>
                            </m:r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norm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FA515AE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Eq. (5), pág. 131 </w:t>
      </w:r>
    </w:p>
    <w:p w14:paraId="1B3D6C7C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Resilience-oriented Transm…</w:t>
      </w:r>
    </w:p>
    <w:p w14:paraId="1E779456" w14:textId="77777777" w:rsidR="002227DB" w:rsidRPr="002227DB" w:rsidRDefault="002227DB" w:rsidP="002227D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da incerteza da vulnerabilidade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825F10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</m:sSubSup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‾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]≤</m:t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</m:sSubSup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085CF03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08639D01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acc>
            <m:accPr>
              <m:chr m:val="‾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</m:sSubSup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</m:sSubSup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‾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08AECF4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Eq. (6), pág. 131 </w:t>
      </w:r>
    </w:p>
    <w:p w14:paraId="1CB13252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Resilience-oriented Transm…</w:t>
      </w:r>
    </w:p>
    <w:p w14:paraId="54E439FF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elo físico-estatístico que a sua tese procura formalizar:</w:t>
      </w:r>
    </w:p>
    <w:p w14:paraId="5291CD0B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dano probabilístico → falha da linha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73FDEE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B4925B">
          <v:rect id="_x0000_i1027" style="width:0;height:1.5pt" o:hralign="center" o:hrstd="t" o:hr="t" fillcolor="#a0a0a0" stroked="f"/>
        </w:pict>
      </w:r>
    </w:p>
    <w:p w14:paraId="02E172A0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de WCEL em vez de WCL</w:t>
      </w:r>
    </w:p>
    <w:p w14:paraId="1DF70B77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artigo substitui o tradicional </w:t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Worst Case Load Shedding</w:t>
      </w:r>
      <w:r w:rsidRPr="002227D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pelo:</w:t>
      </w:r>
    </w:p>
    <w:p w14:paraId="297F9592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Worst-Case Expected Load Shedding (WCEL)</w:t>
      </w:r>
    </w:p>
    <w:p w14:paraId="1E99DB81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evitar o excesso de conservadorismo do modelo DAD, considerando simultaneamente:</w:t>
      </w:r>
    </w:p>
    <w:p w14:paraId="0F86B90F" w14:textId="77777777" w:rsidR="002227DB" w:rsidRPr="002227DB" w:rsidRDefault="002227DB" w:rsidP="002227D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da falha,</w:t>
      </w:r>
    </w:p>
    <w:p w14:paraId="3E763C15" w14:textId="77777777" w:rsidR="002227DB" w:rsidRPr="002227DB" w:rsidRDefault="002227DB" w:rsidP="002227D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ocorrência.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Sec. III, Fig. 2 e Eq. (8), págs. 132–133 </w:t>
      </w:r>
    </w:p>
    <w:p w14:paraId="58EBBDFB" w14:textId="77777777" w:rsidR="002227DB" w:rsidRPr="002227DB" w:rsidRDefault="002227DB" w:rsidP="002227D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66E4238B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conceitualmente fortíssimo para o seu índice de resiliência.</w:t>
      </w:r>
    </w:p>
    <w:p w14:paraId="593471C6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5F8C12">
          <v:rect id="_x0000_i1028" style="width:0;height:1.5pt" o:hralign="center" o:hrstd="t" o:hr="t" fillcolor="#a0a0a0" stroked="f"/>
        </w:pict>
      </w:r>
    </w:p>
    <w:p w14:paraId="4BFD9072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Integração correta TEP × OTS</w:t>
      </w:r>
    </w:p>
    <w:p w14:paraId="599B453F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distingue corretamente:</w:t>
      </w:r>
    </w:p>
    <w:p w14:paraId="34BC67F1" w14:textId="77777777" w:rsidR="002227DB" w:rsidRPr="002227DB" w:rsidRDefault="002227DB" w:rsidP="002227D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TEP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decisão </w:t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here-and-now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(planeamento estrutural);</w:t>
      </w:r>
    </w:p>
    <w:p w14:paraId="3AEC4B2A" w14:textId="77777777" w:rsidR="002227DB" w:rsidRPr="002227DB" w:rsidRDefault="002227DB" w:rsidP="002227D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OTS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decisão </w:t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wait-and-see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(resposta operacional).</w:t>
      </w:r>
    </w:p>
    <w:p w14:paraId="160C5018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Algo que a literatura muitas vezes mistura indevidamente.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Sec. I.E e Fig. 2, pág. 132 </w:t>
      </w:r>
    </w:p>
    <w:p w14:paraId="71696748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73AC28B1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8D4E4D">
          <v:rect id="_x0000_i1029" style="width:0;height:1.5pt" o:hralign="center" o:hrstd="t" o:hr="t" fillcolor="#a0a0a0" stroked="f"/>
        </w:pict>
      </w:r>
    </w:p>
    <w:p w14:paraId="2EA2121A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Validação quantitativa robusta</w:t>
      </w:r>
    </w:p>
    <w:p w14:paraId="1A9D3668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Nos testes:</w:t>
      </w:r>
    </w:p>
    <w:p w14:paraId="1C3CE7C9" w14:textId="77777777" w:rsidR="002227DB" w:rsidRPr="002227DB" w:rsidRDefault="002227DB" w:rsidP="002227D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30-bus e sistema real de 261 barras da China;</w:t>
      </w:r>
    </w:p>
    <w:p w14:paraId="6794BFBE" w14:textId="77777777" w:rsidR="002227DB" w:rsidRPr="002227DB" w:rsidRDefault="002227DB" w:rsidP="002227D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 o RTEP:</w:t>
      </w:r>
    </w:p>
    <w:p w14:paraId="508CBEEE" w14:textId="77777777" w:rsidR="002227DB" w:rsidRPr="002227DB" w:rsidRDefault="002227DB" w:rsidP="002227D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requer menos investimento que o modelo DAD,</w:t>
      </w:r>
    </w:p>
    <w:p w14:paraId="4285814F" w14:textId="77777777" w:rsidR="002227DB" w:rsidRPr="002227DB" w:rsidRDefault="002227DB" w:rsidP="002227D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WCEL,</w:t>
      </w:r>
    </w:p>
    <w:p w14:paraId="16BE8D2B" w14:textId="77777777" w:rsidR="002227DB" w:rsidRPr="002227DB" w:rsidRDefault="002227DB" w:rsidP="002227D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melhor equilíbrio custo × resiliência.</w:t>
      </w:r>
    </w:p>
    <w:p w14:paraId="273A5974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(Tabela II, pág. 134):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Para N-4:</w:t>
      </w:r>
    </w:p>
    <w:p w14:paraId="04867EC7" w14:textId="77777777" w:rsidR="002227DB" w:rsidRPr="002227DB" w:rsidRDefault="002227DB" w:rsidP="002227D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RTEP: WCEL = 13.62 MW</w:t>
      </w:r>
    </w:p>
    <w:p w14:paraId="36BA3E48" w14:textId="77777777" w:rsidR="002227DB" w:rsidRPr="002227DB" w:rsidRDefault="002227DB" w:rsidP="002227D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DAD: WCEL = 20.47 MW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menor custo de investimento no RTEP. </w:t>
      </w:r>
    </w:p>
    <w:p w14:paraId="21F42D85" w14:textId="77777777" w:rsidR="002227DB" w:rsidRPr="002227DB" w:rsidRDefault="002227DB" w:rsidP="002227D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2F83073B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01CFEA">
          <v:rect id="_x0000_i1030" style="width:0;height:1.5pt" o:hralign="center" o:hrstd="t" o:hr="t" fillcolor="#a0a0a0" stroked="f"/>
        </w:pict>
      </w:r>
    </w:p>
    <w:p w14:paraId="50B939F3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Influência explícita da incerteza de vulnerabilidade</w:t>
      </w:r>
    </w:p>
    <w:p w14:paraId="6CF0FF1C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paramétrico mostra que, quando a incerteza cresce (VU de 5% para 25%):</w:t>
      </w:r>
    </w:p>
    <w:p w14:paraId="7477BB39" w14:textId="77777777" w:rsidR="002227DB" w:rsidRPr="002227DB" w:rsidRDefault="002227DB" w:rsidP="002227D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WCEL,</w:t>
      </w:r>
    </w:p>
    <w:p w14:paraId="305662D5" w14:textId="77777777" w:rsidR="002227DB" w:rsidRPr="002227DB" w:rsidRDefault="002227DB" w:rsidP="002227D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número de linhas a construir (NEL),</w:t>
      </w:r>
    </w:p>
    <w:p w14:paraId="7D1A5938" w14:textId="77777777" w:rsidR="002227DB" w:rsidRPr="002227DB" w:rsidRDefault="002227DB" w:rsidP="002227D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necessidade de planeamento resiliente.</w:t>
      </w:r>
    </w:p>
    <w:p w14:paraId="76DDC35C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IV e Figuras 8–9, pág. 136 </w:t>
      </w:r>
    </w:p>
    <w:p w14:paraId="349C90BE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75698749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extremamente valioso para sua tese sobre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do índice de resiliência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77F98C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922C15">
          <v:rect id="_x0000_i1031" style="width:0;height:1.5pt" o:hralign="center" o:hrstd="t" o:hr="t" fillcolor="#a0a0a0" stroked="f"/>
        </w:pict>
      </w:r>
    </w:p>
    <w:p w14:paraId="51AD5DC7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face à sua tese</w:t>
      </w:r>
    </w:p>
    <w:p w14:paraId="02F3871E" w14:textId="77777777" w:rsidR="002227DB" w:rsidRPr="002227DB" w:rsidRDefault="002227DB" w:rsidP="002227D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vulnerabilidade é probabilística, não estrutural-mecânica detalhada (não há esforços, flambagem, etc.);</w:t>
      </w:r>
    </w:p>
    <w:p w14:paraId="53934BFC" w14:textId="77777777" w:rsidR="002227DB" w:rsidRPr="002227DB" w:rsidRDefault="002227DB" w:rsidP="002227D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explícita de torres, apenas de linhas;</w:t>
      </w:r>
    </w:p>
    <w:p w14:paraId="54D6E454" w14:textId="77777777" w:rsidR="002227DB" w:rsidRPr="002227DB" w:rsidRDefault="002227DB" w:rsidP="002227D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recuperação física não é tratada (o modelo cobre preparação e resistência).</w:t>
      </w:r>
    </w:p>
    <w:p w14:paraId="53025CEE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assim, essas limitações são perfeitamente compatíveis com o nível de abstração típico em teses de sistemas elétricos.</w:t>
      </w:r>
    </w:p>
    <w:p w14:paraId="1CB3FE50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B206EE">
          <v:rect id="_x0000_i1032" style="width:0;height:1.5pt" o:hralign="center" o:hrstd="t" o:hr="t" fillcolor="#a0a0a0" stroked="f"/>
        </w:pict>
      </w:r>
    </w:p>
    <w:p w14:paraId="40301376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089"/>
      </w:tblGrid>
      <w:tr w:rsidR="002227DB" w:rsidRPr="002227DB" w14:paraId="3487C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6BE3" w14:textId="77777777" w:rsidR="002227DB" w:rsidRPr="002227DB" w:rsidRDefault="002227DB" w:rsidP="002227D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DA2AB06" w14:textId="77777777" w:rsidR="002227DB" w:rsidRPr="002227DB" w:rsidRDefault="002227DB" w:rsidP="002227D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227DB" w:rsidRPr="002227DB" w14:paraId="0BCD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D7CB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(tufões)</w:t>
            </w:r>
          </w:p>
        </w:tc>
        <w:tc>
          <w:tcPr>
            <w:tcW w:w="0" w:type="auto"/>
            <w:vAlign w:val="center"/>
            <w:hideMark/>
          </w:tcPr>
          <w:p w14:paraId="48CD6CA6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4AC3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B90A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Vulnerabilidade física de LT</w:t>
            </w:r>
          </w:p>
        </w:tc>
        <w:tc>
          <w:tcPr>
            <w:tcW w:w="0" w:type="auto"/>
            <w:vAlign w:val="center"/>
            <w:hideMark/>
          </w:tcPr>
          <w:p w14:paraId="6C45BF2C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2B05D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7BC1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 na fragilidade</w:t>
            </w:r>
          </w:p>
        </w:tc>
        <w:tc>
          <w:tcPr>
            <w:tcW w:w="0" w:type="auto"/>
            <w:vAlign w:val="center"/>
            <w:hideMark/>
          </w:tcPr>
          <w:p w14:paraId="329F7986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29644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BFC9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Cadeia clima → falha</w:t>
            </w:r>
          </w:p>
        </w:tc>
        <w:tc>
          <w:tcPr>
            <w:tcW w:w="0" w:type="auto"/>
            <w:vAlign w:val="center"/>
            <w:hideMark/>
          </w:tcPr>
          <w:p w14:paraId="04F440BD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26D8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5C31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probabilística</w:t>
            </w:r>
          </w:p>
        </w:tc>
        <w:tc>
          <w:tcPr>
            <w:tcW w:w="0" w:type="auto"/>
            <w:vAlign w:val="center"/>
            <w:hideMark/>
          </w:tcPr>
          <w:p w14:paraId="33217D7F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302A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F38B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estrutural + operacional</w:t>
            </w:r>
          </w:p>
        </w:tc>
        <w:tc>
          <w:tcPr>
            <w:tcW w:w="0" w:type="auto"/>
            <w:vAlign w:val="center"/>
            <w:hideMark/>
          </w:tcPr>
          <w:p w14:paraId="304708D1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227DB" w:rsidRPr="002227DB" w14:paraId="3812E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36F8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explícita</w:t>
            </w:r>
          </w:p>
        </w:tc>
        <w:tc>
          <w:tcPr>
            <w:tcW w:w="0" w:type="auto"/>
            <w:vAlign w:val="center"/>
            <w:hideMark/>
          </w:tcPr>
          <w:p w14:paraId="4E9EAB00" w14:textId="77777777" w:rsidR="002227DB" w:rsidRPr="002227DB" w:rsidRDefault="002227DB" w:rsidP="002227D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227D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</w:tbl>
    <w:p w14:paraId="4988314C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altíssima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227D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 altíssima</w:t>
      </w:r>
    </w:p>
    <w:p w14:paraId="08D805CE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C0C87A">
          <v:rect id="_x0000_i1033" style="width:0;height:1.5pt" o:hralign="center" o:hrstd="t" o:hr="t" fillcolor="#a0a0a0" stroked="f"/>
        </w:pict>
      </w:r>
    </w:p>
    <w:p w14:paraId="62637777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CEB02F3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7EDCDB45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índice de resiliência;</w:t>
      </w:r>
    </w:p>
    <w:p w14:paraId="79D4F2B4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da parte climática;</w:t>
      </w:r>
    </w:p>
    <w:p w14:paraId="796FE158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probabilística de fragilidade;</w:t>
      </w:r>
    </w:p>
    <w:p w14:paraId="5424D3D8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incerteza;</w:t>
      </w:r>
    </w:p>
    <w:p w14:paraId="23DFEE72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correta entre resiliência estrutural e operacional;</w:t>
      </w:r>
    </w:p>
    <w:p w14:paraId="60CB513F" w14:textId="77777777" w:rsidR="002227DB" w:rsidRPr="002227DB" w:rsidRDefault="002227DB" w:rsidP="002227D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crítica fundamentada ao modelo DAD.</w:t>
      </w:r>
    </w:p>
    <w:p w14:paraId="72F8C2D0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É, tecnicamente, um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nuclear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</w:p>
    <w:p w14:paraId="4C56991A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D7DF71">
          <v:rect id="_x0000_i1034" style="width:0;height:1.5pt" o:hralign="center" o:hrstd="t" o:hr="t" fillcolor="#a0a0a0" stroked="f"/>
        </w:pict>
      </w:r>
    </w:p>
    <w:p w14:paraId="313C57E2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3043FFB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NUCLEAR DA TESE)</w:t>
      </w:r>
    </w:p>
    <w:p w14:paraId="051779F2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70ADF2D5" w14:textId="77777777" w:rsidR="002227DB" w:rsidRPr="002227DB" w:rsidRDefault="002227DB" w:rsidP="002227D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linhas de transmissão;</w:t>
      </w:r>
    </w:p>
    <w:p w14:paraId="5C49BEE0" w14:textId="77777777" w:rsidR="002227DB" w:rsidRPr="002227DB" w:rsidRDefault="002227DB" w:rsidP="002227D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tufões;</w:t>
      </w:r>
    </w:p>
    <w:p w14:paraId="142C8DFD" w14:textId="77777777" w:rsidR="002227DB" w:rsidRPr="002227DB" w:rsidRDefault="002227DB" w:rsidP="002227D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vulnerabilidade probabilística;</w:t>
      </w:r>
    </w:p>
    <w:p w14:paraId="0C4FEAFF" w14:textId="77777777" w:rsidR="002227DB" w:rsidRPr="002227DB" w:rsidRDefault="002227DB" w:rsidP="002227D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falha e planeamento;</w:t>
      </w:r>
    </w:p>
    <w:p w14:paraId="70F6E212" w14:textId="77777777" w:rsidR="002227DB" w:rsidRPr="002227DB" w:rsidRDefault="002227DB" w:rsidP="002227D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conceitualmente alinhado ao seu índice.</w:t>
      </w:r>
    </w:p>
    <w:p w14:paraId="4A4BB789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A3B3D7">
          <v:rect id="_x0000_i1035" style="width:0;height:1.5pt" o:hralign="center" o:hrstd="t" o:hr="t" fillcolor="#a0a0a0" stroked="f"/>
        </w:pict>
      </w:r>
    </w:p>
    <w:p w14:paraId="55CCEB4B" w14:textId="77777777" w:rsidR="002227DB" w:rsidRPr="002227DB" w:rsidRDefault="002227DB" w:rsidP="002227D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16B84FF" w14:textId="77777777" w:rsidR="002227DB" w:rsidRPr="002227DB" w:rsidRDefault="002227DB" w:rsidP="002227D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4DA01EF" w14:textId="77777777" w:rsidR="002227DB" w:rsidRPr="002227DB" w:rsidRDefault="002227DB" w:rsidP="002227D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de expansão e chaveamento ótimo de linhas com vulnerabilidade probabilística sob tufões</w:t>
      </w:r>
    </w:p>
    <w:p w14:paraId="3A88D264" w14:textId="77777777" w:rsidR="002227DB" w:rsidRPr="002227DB" w:rsidRDefault="002227DB" w:rsidP="002227D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DFC1262" w14:textId="77777777" w:rsidR="002227DB" w:rsidRPr="002227DB" w:rsidRDefault="002227DB" w:rsidP="002227D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3A59FB17" w14:textId="77777777" w:rsidR="002227DB" w:rsidRPr="002227DB" w:rsidRDefault="002227DB" w:rsidP="002227D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90271C1" w14:textId="77777777" w:rsidR="002227DB" w:rsidRPr="002227DB" w:rsidRDefault="002227DB" w:rsidP="002227D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DD2CF21" w14:textId="77777777" w:rsidR="002227DB" w:rsidRPr="002227DB" w:rsidRDefault="002227DB" w:rsidP="002227D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B6112E8" w14:textId="77777777" w:rsidR="002227DB" w:rsidRPr="002227DB" w:rsidRDefault="002227DB" w:rsidP="002227D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61F3A07" w14:textId="77777777" w:rsidR="002227DB" w:rsidRPr="002227DB" w:rsidRDefault="002227DB" w:rsidP="002227D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(modelos DAD excessivamente conservadores)</w:t>
      </w:r>
    </w:p>
    <w:p w14:paraId="0702002E" w14:textId="77777777" w:rsidR="002227DB" w:rsidRPr="002227DB" w:rsidRDefault="002227DB" w:rsidP="002227D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9,7 / 10</w:t>
      </w:r>
    </w:p>
    <w:p w14:paraId="72CD8BD2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370504">
          <v:rect id="_x0000_i1036" style="width:0;height:1.5pt" o:hralign="center" o:hrstd="t" o:hr="t" fillcolor="#a0a0a0" stroked="f"/>
        </w:pict>
      </w:r>
    </w:p>
    <w:p w14:paraId="5279F073" w14:textId="77777777" w:rsidR="002227DB" w:rsidRPr="002227DB" w:rsidRDefault="002227DB" w:rsidP="002227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227D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Referência no formato IEEE</w:t>
      </w:r>
    </w:p>
    <w:p w14:paraId="2B0A3AAE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Y. Yuan, H. Zhang, H. Cheng, and Z. Wang,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“Resilience-oriented transmission expansion planning with optimal transmission switching under typhoon weather,”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227D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CSEE Journal of Power and Energy Systems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10, no. 1, pp. 129–138, Jan. 2024,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doi: 10.17775/CSEEJPES.2021.07840. </w:t>
      </w:r>
    </w:p>
    <w:p w14:paraId="4279E2F4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Transm…</w:t>
      </w:r>
    </w:p>
    <w:p w14:paraId="590477E4" w14:textId="77777777" w:rsidR="002227DB" w:rsidRPr="002227DB" w:rsidRDefault="002227DB" w:rsidP="002227D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C846FE">
          <v:rect id="_x0000_i1037" style="width:0;height:1.5pt" o:hralign="center" o:hrstd="t" o:hr="t" fillcolor="#a0a0a0" stroked="f"/>
        </w:pict>
      </w:r>
    </w:p>
    <w:p w14:paraId="1B784A16" w14:textId="77777777" w:rsidR="002227DB" w:rsidRPr="002227DB" w:rsidRDefault="002227DB" w:rsidP="002227D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está no mesmo patamar técnico do “Hardening and Expansion Planning under Hurricane Impact” que você avaliou antes.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Ambos formam a </w:t>
      </w:r>
      <w:r w:rsidRPr="002227D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espinha dorsal metodológica</w:t>
      </w:r>
      <w:r w:rsidRPr="002227D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01085889" w14:textId="77777777" w:rsidR="00183D47" w:rsidRPr="00183D47" w:rsidRDefault="00183D47">
      <w:pPr>
        <w:rPr>
          <w:lang w:val="en-US"/>
        </w:rPr>
      </w:pPr>
    </w:p>
    <w:sectPr w:rsidR="00183D47" w:rsidRPr="00183D4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F64"/>
    <w:multiLevelType w:val="multilevel"/>
    <w:tmpl w:val="43BE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E57E6"/>
    <w:multiLevelType w:val="multilevel"/>
    <w:tmpl w:val="AD4A6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84871"/>
    <w:multiLevelType w:val="multilevel"/>
    <w:tmpl w:val="C3B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047B"/>
    <w:multiLevelType w:val="multilevel"/>
    <w:tmpl w:val="2BB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F477A"/>
    <w:multiLevelType w:val="multilevel"/>
    <w:tmpl w:val="C54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263D"/>
    <w:multiLevelType w:val="multilevel"/>
    <w:tmpl w:val="5D8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161D1"/>
    <w:multiLevelType w:val="multilevel"/>
    <w:tmpl w:val="B8F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C708B"/>
    <w:multiLevelType w:val="multilevel"/>
    <w:tmpl w:val="9AF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938AD"/>
    <w:multiLevelType w:val="multilevel"/>
    <w:tmpl w:val="228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7FEC"/>
    <w:multiLevelType w:val="multilevel"/>
    <w:tmpl w:val="B8A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B6768"/>
    <w:multiLevelType w:val="multilevel"/>
    <w:tmpl w:val="A500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05A5B"/>
    <w:multiLevelType w:val="multilevel"/>
    <w:tmpl w:val="50D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97332">
    <w:abstractNumId w:val="5"/>
  </w:num>
  <w:num w:numId="2" w16cid:durableId="405540280">
    <w:abstractNumId w:val="10"/>
  </w:num>
  <w:num w:numId="3" w16cid:durableId="1207764701">
    <w:abstractNumId w:val="1"/>
  </w:num>
  <w:num w:numId="4" w16cid:durableId="914168981">
    <w:abstractNumId w:val="6"/>
  </w:num>
  <w:num w:numId="5" w16cid:durableId="570389150">
    <w:abstractNumId w:val="4"/>
  </w:num>
  <w:num w:numId="6" w16cid:durableId="496847402">
    <w:abstractNumId w:val="8"/>
  </w:num>
  <w:num w:numId="7" w16cid:durableId="1348170208">
    <w:abstractNumId w:val="9"/>
  </w:num>
  <w:num w:numId="8" w16cid:durableId="30889495">
    <w:abstractNumId w:val="7"/>
  </w:num>
  <w:num w:numId="9" w16cid:durableId="839544282">
    <w:abstractNumId w:val="0"/>
  </w:num>
  <w:num w:numId="10" w16cid:durableId="810290412">
    <w:abstractNumId w:val="2"/>
  </w:num>
  <w:num w:numId="11" w16cid:durableId="2130390089">
    <w:abstractNumId w:val="11"/>
  </w:num>
  <w:num w:numId="12" w16cid:durableId="107896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4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83D47"/>
    <w:rsid w:val="00196796"/>
    <w:rsid w:val="001F4610"/>
    <w:rsid w:val="002227DB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3050"/>
  <w15:chartTrackingRefBased/>
  <w15:docId w15:val="{8B887545-4BC3-4D6A-B3B6-352C6E10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4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4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4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4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4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83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4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83D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7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227DB"/>
    <w:rPr>
      <w:b/>
      <w:bCs/>
    </w:rPr>
  </w:style>
  <w:style w:type="character" w:styleId="Emphasis">
    <w:name w:val="Emphasis"/>
    <w:basedOn w:val="DefaultParagraphFont"/>
    <w:uiPriority w:val="20"/>
    <w:qFormat/>
    <w:rsid w:val="002227DB"/>
    <w:rPr>
      <w:i/>
      <w:iCs/>
    </w:rPr>
  </w:style>
  <w:style w:type="character" w:customStyle="1" w:styleId="relative">
    <w:name w:val="relative"/>
    <w:basedOn w:val="DefaultParagraphFont"/>
    <w:rsid w:val="002227DB"/>
  </w:style>
  <w:style w:type="paragraph" w:customStyle="1" w:styleId="not-prose">
    <w:name w:val="not-prose"/>
    <w:basedOn w:val="Normal"/>
    <w:rsid w:val="002227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919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2026-01-11T23:04:00Z</dcterms:created>
  <dcterms:modified xsi:type="dcterms:W3CDTF">2026-01-11T23:04:00Z</dcterms:modified>
</cp:coreProperties>
</file>