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0353" w14:textId="7DBF0BEF" w:rsidR="00AC5231" w:rsidRDefault="000F5988">
      <w:r w:rsidRPr="000F5988">
        <w:t>2025 A resiliência das redes de distribuição de energia elétrica na Europa-GESEL</w:t>
      </w:r>
    </w:p>
    <w:p w14:paraId="2A26D239" w14:textId="77777777" w:rsidR="000F5988" w:rsidRDefault="000F5988"/>
    <w:p w14:paraId="462C2BD1" w14:textId="77777777" w:rsidR="00A47F13" w:rsidRPr="00A47F13" w:rsidRDefault="00A47F13" w:rsidP="00A47F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Avaliação técnica resumida — (2025) A resiliência das redes de distribuição de energia elétrica na Europa (GESEL/TDSE nº 138) </w:t>
      </w:r>
    </w:p>
    <w:p w14:paraId="2799D69B" w14:textId="77777777" w:rsidR="00A47F13" w:rsidRPr="00A47F13" w:rsidRDefault="00A47F13" w:rsidP="00A47F1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2025 A resiliência das redes de…</w:t>
      </w:r>
    </w:p>
    <w:p w14:paraId="53CABE71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do documento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Texto técnico de discussão setorial (GESEL/UFRJ – TDSE nº 138, abril/2025), com foco em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políticas públicas e regulação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redes de distribuição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Europa. Não é artigo científico de modelagem; é um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analítico-regulatório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dados e referências institucionais (EEA, CEER, IEA, diretivas da UE, ERSE/Portugal, ARERA/Itália). </w:t>
      </w:r>
    </w:p>
    <w:p w14:paraId="23F8CF7E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1B3CD178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079161">
          <v:rect id="_x0000_i1025" style="width:0;height:1.5pt" o:hralign="center" o:hrstd="t" o:hr="t" fillcolor="#a0a0a0" stroked="f"/>
        </w:pict>
      </w:r>
    </w:p>
    <w:p w14:paraId="073CA105" w14:textId="77777777" w:rsidR="00A47F13" w:rsidRPr="00A47F13" w:rsidRDefault="00A47F13" w:rsidP="00A47F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3BF9E7AD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procura responder: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os reguladores europeus estão redefinindo qualidade de serviço e incentivos para incorporar eventos climáticos extremos (ECEx)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fortalecer a resiliência das redes (principalmente distribuição).</w:t>
      </w:r>
    </w:p>
    <w:p w14:paraId="7D39ADC9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Eixos centrais:</w:t>
      </w:r>
    </w:p>
    <w:p w14:paraId="28CD0556" w14:textId="77777777" w:rsidR="00A47F13" w:rsidRPr="00A47F13" w:rsidRDefault="00A47F13" w:rsidP="00A47F1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conceitual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vs resiliência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 DEC/FEC e regulação “cap and floor” como base histórica); </w:t>
      </w:r>
    </w:p>
    <w:p w14:paraId="5C527DE5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63B4A93C" w14:textId="77777777" w:rsidR="00A47F13" w:rsidRPr="00A47F13" w:rsidRDefault="00A47F13" w:rsidP="00A47F1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tratamento regulatório de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excecionais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(substituindo “força maior”) e critérios para expurgar ECEx dos indicadores e de compensações; </w:t>
      </w:r>
    </w:p>
    <w:p w14:paraId="24CD43FB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71B5BE36" w14:textId="77777777" w:rsidR="00A47F13" w:rsidRPr="00A47F13" w:rsidRDefault="00A47F13" w:rsidP="00A47F1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medidas típicas de resiliência em distribuição: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subterraneização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de vegetação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rede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coordenação operacional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proteção civil/bombeiros; </w:t>
      </w:r>
    </w:p>
    <w:p w14:paraId="644F0923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471E76BB" w14:textId="77777777" w:rsidR="00A47F13" w:rsidRPr="00A47F13" w:rsidRDefault="00A47F13" w:rsidP="00A47F1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Itália (ARERA)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referência de inovação regulatória (2016–2023) com planos de resiliência obrigatórios, análise custo-benefício e incentivos/penalizações; </w:t>
      </w:r>
    </w:p>
    <w:p w14:paraId="76BDB6CD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671AD2A0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➡</w:t>
      </w:r>
      <w:proofErr w:type="gramStart"/>
      <w:r w:rsidRPr="00A47F1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</w:t>
      </w:r>
      <w:proofErr w:type="gramEnd"/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suma: resiliência tratada como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governança + regulação + incentivos + planejamento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índice físico de LT.</w:t>
      </w:r>
    </w:p>
    <w:p w14:paraId="0B0F4395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610F08">
          <v:rect id="_x0000_i1026" style="width:0;height:1.5pt" o:hralign="center" o:hrstd="t" o:hr="t" fillcolor="#a0a0a0" stroked="f"/>
        </w:pict>
      </w:r>
    </w:p>
    <w:p w14:paraId="63A05D7B" w14:textId="77777777" w:rsidR="00A47F13" w:rsidRPr="00A47F13" w:rsidRDefault="00A47F13" w:rsidP="00A47F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(para sua tese)</w:t>
      </w:r>
    </w:p>
    <w:p w14:paraId="1A2F13EC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sendo de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há contribuições úteis e bem “citáveis” na tese:</w:t>
      </w:r>
    </w:p>
    <w:p w14:paraId="1B1C0F37" w14:textId="77777777" w:rsidR="00A47F13" w:rsidRPr="00A47F13" w:rsidRDefault="00A47F13" w:rsidP="00A47F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Distinção formal confiabilidade × resiliência</w:t>
      </w:r>
    </w:p>
    <w:p w14:paraId="1E807997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texto define confiabilidade como continuidade estável de suprimento, enquanto resiliência é a capacidade de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resistir, absorver, recuperar e adaptar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eventos adversos (ECEx). </w:t>
      </w:r>
    </w:p>
    <w:p w14:paraId="41C549B5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48A972E7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Isso ajuda a justificar o seu enquadramento conceitual e separar “qualidade rotineira” de “choques extremos”.</w:t>
      </w:r>
    </w:p>
    <w:p w14:paraId="27A9F311" w14:textId="77777777" w:rsidR="00A47F13" w:rsidRPr="00A47F13" w:rsidRDefault="00A47F13" w:rsidP="00A47F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Estrutura de “resiliência climática” em 3 dimensões (IEA)</w:t>
      </w:r>
    </w:p>
    <w:p w14:paraId="3DDEA346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incorpora o quadro IEA com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robustez, flexibilidade e recuperação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(Figura 7), útil para estruturar capítulos do seu índice e justificar variáveis de avaliação. </w:t>
      </w:r>
    </w:p>
    <w:p w14:paraId="212A94F1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79A0933A" w14:textId="77777777" w:rsidR="00A47F13" w:rsidRPr="00A47F13" w:rsidRDefault="00A47F13" w:rsidP="00A47F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Métrica/regulação de ECEx: “evento excecional” e expurgo dos indicadores</w:t>
      </w:r>
    </w:p>
    <w:p w14:paraId="203D0252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Ponto forte para sua tese (mesmo sendo LT): a discussão regulatória sobre quando um evento deve ser tratado como excecional, critérios e efeitos (expurgo de indicadores e compensações). Exemplo: ERSE/Portugal define condições e critérios cumulativos para classificar eventos excecionais e procedimentos de avaliação. </w:t>
      </w:r>
    </w:p>
    <w:p w14:paraId="5F8ECD24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0460D79E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Isso pode ser usado para sustentar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de classificação de eventos extremos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separar “falha imputável” vs “não imputável” — conceito útil quando você for discutir dados históricos.</w:t>
      </w:r>
    </w:p>
    <w:p w14:paraId="123C6D57" w14:textId="77777777" w:rsidR="00A47F13" w:rsidRPr="00A47F13" w:rsidRDefault="00A47F13" w:rsidP="00A47F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Subterraneização vs rede aérea</w:t>
      </w:r>
    </w:p>
    <w:p w14:paraId="333B6B23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Traz argumentos clássicos com dados/regra prática: redes subterrâneas tendem a menor frequência de interrupções e maior resiliência climática, mas custo unitário pode ser muito maior (o texto cita até “oito vezes”). O Quadro 3 resume vantagens/desvantagens (inclui vulnerabilidade a inundações). </w:t>
      </w:r>
    </w:p>
    <w:p w14:paraId="0989F0F7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2025 A resiliência das redes de…</w:t>
      </w:r>
    </w:p>
    <w:p w14:paraId="0BEDDFA4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Mesmo que sua tese seja LT, isso é útil como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de alternativas de adaptação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A95AFD" w14:textId="77777777" w:rsidR="00A47F13" w:rsidRPr="00A47F13" w:rsidRDefault="00A47F13" w:rsidP="00A47F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Caso Itália (ARERA): incentivos, planos e valores monetários</w:t>
      </w:r>
    </w:p>
    <w:p w14:paraId="5F146F87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texto descreve que ARERA exige plano de resiliência com análise custo-benefício e usa valores monetários de interrupções evitadas (€/kWh não fornecido) e incentivos/penalizações vinculados à execução; além de mecanismos para interrupções prolongadas (inclusive com compensações mesmo em “força maior” em certos casos). </w:t>
      </w:r>
    </w:p>
    <w:p w14:paraId="2E078328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713F6BB2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Isso é excelente como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 regulatório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discutir “como operacionalizar resiliência” na governança do setor.</w:t>
      </w:r>
    </w:p>
    <w:p w14:paraId="29138786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8A62C0">
          <v:rect id="_x0000_i1027" style="width:0;height:1.5pt" o:hralign="center" o:hrstd="t" o:hr="t" fillcolor="#a0a0a0" stroked="f"/>
        </w:pict>
      </w:r>
    </w:p>
    <w:p w14:paraId="6D42DCE5" w14:textId="77777777" w:rsidR="00A47F13" w:rsidRPr="00A47F13" w:rsidRDefault="00A47F13" w:rsidP="00A47F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ao núcleo da sua tese (decisivas)</w:t>
      </w:r>
    </w:p>
    <w:p w14:paraId="39212664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“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(foco físico/estrutural + desempenho temporal):</w:t>
      </w:r>
    </w:p>
    <w:p w14:paraId="47CAA511" w14:textId="77777777" w:rsidR="00A47F13" w:rsidRPr="00A47F13" w:rsidRDefault="00A47F13" w:rsidP="00A47F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objeto é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LT;</w:t>
      </w:r>
    </w:p>
    <w:p w14:paraId="442B55BE" w14:textId="77777777" w:rsidR="00A47F13" w:rsidRPr="00A47F13" w:rsidRDefault="00A47F13" w:rsidP="00A47F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modelagem de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(torres/condutores/fundações) nem mecanismos físico-mecânicos de falha;</w:t>
      </w:r>
    </w:p>
    <w:p w14:paraId="4D852853" w14:textId="77777777" w:rsidR="00A47F13" w:rsidRPr="00A47F13" w:rsidRDefault="00A47F13" w:rsidP="00A47F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curva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climática → dano → probabilidade de falha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68CAE0" w14:textId="77777777" w:rsidR="00A47F13" w:rsidRPr="00A47F13" w:rsidRDefault="00A47F13" w:rsidP="00A47F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temporal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modelada (função desempenho × tempo), apenas discussão institucional/operacional;</w:t>
      </w:r>
    </w:p>
    <w:p w14:paraId="373BBB3B" w14:textId="77777777" w:rsidR="00A47F13" w:rsidRPr="00A47F13" w:rsidRDefault="00A47F13" w:rsidP="00A47F1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é predominantemente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normativo-regulatório e qualitativo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8AA7B2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A47F1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Logo</w:t>
      </w:r>
      <w:proofErr w:type="gramEnd"/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não serve como base metodológica central do seu índice de resiliência de LT, mas serve como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contexto e benchmark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750024D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FB261B">
          <v:rect id="_x0000_i1028" style="width:0;height:1.5pt" o:hralign="center" o:hrstd="t" o:hr="t" fillcolor="#a0a0a0" stroked="f"/>
        </w:pict>
      </w:r>
    </w:p>
    <w:p w14:paraId="43750503" w14:textId="77777777" w:rsidR="00A47F13" w:rsidRPr="00A47F13" w:rsidRDefault="00A47F13" w:rsidP="00A47F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Valor real para a tese (onde encaixa)</w:t>
      </w:r>
    </w:p>
    <w:p w14:paraId="7B4E110A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recomendado na sua tese:</w:t>
      </w:r>
    </w:p>
    <w:p w14:paraId="7CF09B60" w14:textId="77777777" w:rsidR="00A47F13" w:rsidRPr="00A47F13" w:rsidRDefault="00A47F13" w:rsidP="00A47F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evolução do paradigma climático e necessidade de resiliência na cadeia elétrica; </w:t>
      </w:r>
    </w:p>
    <w:p w14:paraId="35859DB3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61FF9E30" w14:textId="77777777" w:rsidR="00A47F13" w:rsidRPr="00A47F13" w:rsidRDefault="00A47F13" w:rsidP="00A47F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Revisão da literatura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(bloco “regulação e governança da resiliência”); </w:t>
      </w:r>
    </w:p>
    <w:p w14:paraId="26648030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789688BA" w14:textId="77777777" w:rsidR="00A47F13" w:rsidRPr="00A47F13" w:rsidRDefault="00A47F13" w:rsidP="00A47F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escolha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reforçar por que índices tradicionais (DEC/FEC, confiabilidade) não capturam ECEx e por que reguladores migraram para mecanismos específicos de resiliência; </w:t>
      </w:r>
    </w:p>
    <w:p w14:paraId="420838DD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507A4256" w14:textId="77777777" w:rsidR="00A47F13" w:rsidRPr="00A47F13" w:rsidRDefault="00A47F13" w:rsidP="00A47F1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 (apenas conceitual)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estrutura robustez–flexibilidade–recuperação e classificação de eventos excecionais (como inspiração, não como método matemático). </w:t>
      </w:r>
    </w:p>
    <w:p w14:paraId="7D4FC517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7848FA1D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F1C927">
          <v:rect id="_x0000_i1029" style="width:0;height:1.5pt" o:hralign="center" o:hrstd="t" o:hr="t" fillcolor="#a0a0a0" stroked="f"/>
        </w:pict>
      </w:r>
    </w:p>
    <w:p w14:paraId="22B026FE" w14:textId="77777777" w:rsidR="00A47F13" w:rsidRPr="00A47F13" w:rsidRDefault="00A47F13" w:rsidP="00A47F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Decisão final</w:t>
      </w:r>
    </w:p>
    <w:p w14:paraId="5AD4ACDF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 (como referência de contextualização e benchmark regulatório)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2BF8D59C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0427790C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Embora não trate da fragilidade física de LT, o documento é muito útil para fundamentar a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dimensão regulatória/organizacional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resiliência, sobretudo: distinção confiabilidade×resiliência, tratamento de ECEx como “eventos excecionais”, e exemplos concretos de inovação regulatória (Itália/ARERA; Portugal/ERSE). </w:t>
      </w:r>
    </w:p>
    <w:p w14:paraId="795B7DC0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45F41806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BEB403">
          <v:rect id="_x0000_i1030" style="width:0;height:1.5pt" o:hralign="center" o:hrstd="t" o:hr="t" fillcolor="#a0a0a0" stroked="f"/>
        </w:pict>
      </w:r>
    </w:p>
    <w:p w14:paraId="404A7FF6" w14:textId="77777777" w:rsidR="00A47F13" w:rsidRPr="00A47F13" w:rsidRDefault="00A47F13" w:rsidP="00A47F1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Classificação resumida (para sua tabela futura)</w:t>
      </w:r>
    </w:p>
    <w:p w14:paraId="051BDBC9" w14:textId="77777777" w:rsidR="00A47F13" w:rsidRPr="00A47F13" w:rsidRDefault="00A47F13" w:rsidP="00A47F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8CB5236" w14:textId="77777777" w:rsidR="00A47F13" w:rsidRPr="00A47F13" w:rsidRDefault="00A47F13" w:rsidP="00A47F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redes de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Europa sob ECEx — políticas públicas, regulação, indicadores, incentivos e benchmarks (ERSE/ARERA/CEER/EEA/IEA) </w:t>
      </w:r>
    </w:p>
    <w:p w14:paraId="4B1DB131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4D237AE5" w14:textId="77777777" w:rsidR="00A47F13" w:rsidRPr="00A47F13" w:rsidRDefault="00A47F13" w:rsidP="00A47F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(alto se você tiver seção forte de regulação e política pública)</w:t>
      </w:r>
    </w:p>
    <w:p w14:paraId="652E71B7" w14:textId="77777777" w:rsidR="00A47F13" w:rsidRPr="00A47F13" w:rsidRDefault="00A47F13" w:rsidP="00A47F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contextualização; revisão da literatura; justificativa da escolha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 apoio conceitual à metodologia) </w:t>
      </w:r>
    </w:p>
    <w:p w14:paraId="41CD611B" w14:textId="77777777" w:rsidR="00A47F13" w:rsidRPr="00A47F13" w:rsidRDefault="00A47F13" w:rsidP="00A47F1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2025 A resiliência das redes de…</w:t>
      </w:r>
    </w:p>
    <w:p w14:paraId="7F132AA9" w14:textId="77777777" w:rsidR="00A47F13" w:rsidRPr="00A47F13" w:rsidRDefault="00A47F13" w:rsidP="00A47F1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47F1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5,5 / 10</w:t>
      </w:r>
    </w:p>
    <w:p w14:paraId="1D589E24" w14:textId="77777777" w:rsidR="00A47F13" w:rsidRPr="00A47F13" w:rsidRDefault="00A47F13" w:rsidP="00A47F1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0C9E92">
          <v:rect id="_x0000_i1031" style="width:0;height:1.5pt" o:hralign="center" o:hrstd="t" o:hr="t" fillcolor="#a0a0a0" stroked="f"/>
        </w:pict>
      </w:r>
    </w:p>
    <w:p w14:paraId="6BB79195" w14:textId="77777777" w:rsidR="00A47F13" w:rsidRPr="00A47F13" w:rsidRDefault="00A47F13" w:rsidP="00A47F1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7F1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Referência (IEEE)</w:t>
      </w:r>
    </w:p>
    <w:p w14:paraId="7C58FE68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V. Santos and N. de Castro, </w:t>
      </w:r>
      <w:r w:rsidRPr="00A47F1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 resiliência das redes de distribuição de energia elétrica na Europa</w:t>
      </w: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TDSE – Texto de Discussão do Setor Elétrico, no. 138, GESEL/UFRJ, Apr. 2025. </w:t>
      </w:r>
    </w:p>
    <w:p w14:paraId="7D24D097" w14:textId="77777777" w:rsidR="00A47F13" w:rsidRPr="00A47F13" w:rsidRDefault="00A47F13" w:rsidP="00A47F1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7F1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resiliência das redes de…</w:t>
      </w:r>
    </w:p>
    <w:p w14:paraId="0CAEB4C5" w14:textId="77777777" w:rsidR="000F5988" w:rsidRDefault="000F5988"/>
    <w:sectPr w:rsidR="000F598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22A10"/>
    <w:multiLevelType w:val="multilevel"/>
    <w:tmpl w:val="C8E4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E0482"/>
    <w:multiLevelType w:val="multilevel"/>
    <w:tmpl w:val="17B2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46854"/>
    <w:multiLevelType w:val="multilevel"/>
    <w:tmpl w:val="65A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F13E5"/>
    <w:multiLevelType w:val="multilevel"/>
    <w:tmpl w:val="F31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397337">
    <w:abstractNumId w:val="1"/>
  </w:num>
  <w:num w:numId="2" w16cid:durableId="1725593630">
    <w:abstractNumId w:val="2"/>
  </w:num>
  <w:num w:numId="3" w16cid:durableId="240877106">
    <w:abstractNumId w:val="3"/>
  </w:num>
  <w:num w:numId="4" w16cid:durableId="97984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88"/>
    <w:rsid w:val="000131F2"/>
    <w:rsid w:val="00050A60"/>
    <w:rsid w:val="0007293B"/>
    <w:rsid w:val="0008424C"/>
    <w:rsid w:val="00096FFB"/>
    <w:rsid w:val="000C5A52"/>
    <w:rsid w:val="000C625D"/>
    <w:rsid w:val="000D45BD"/>
    <w:rsid w:val="000F5988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47F13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8623E"/>
  <w15:chartTrackingRefBased/>
  <w15:docId w15:val="{F1C8D4D0-7A14-4CE6-985E-97FC6A34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8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8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8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8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8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F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8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F59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47F13"/>
    <w:rPr>
      <w:b/>
      <w:bCs/>
    </w:rPr>
  </w:style>
  <w:style w:type="character" w:customStyle="1" w:styleId="relative">
    <w:name w:val="relative"/>
    <w:basedOn w:val="DefaultParagraphFont"/>
    <w:rsid w:val="00A47F13"/>
  </w:style>
  <w:style w:type="paragraph" w:customStyle="1" w:styleId="not-prose">
    <w:name w:val="not-prose"/>
    <w:basedOn w:val="Normal"/>
    <w:rsid w:val="00A47F1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7F1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A47F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1067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2026-01-12T15:19:00Z</dcterms:created>
  <dcterms:modified xsi:type="dcterms:W3CDTF">2026-01-12T15:19:00Z</dcterms:modified>
</cp:coreProperties>
</file>