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9191F" w14:textId="77777777" w:rsidR="00294C3F" w:rsidRDefault="00294C3F" w:rsidP="00294C3F">
      <w:proofErr w:type="spellStart"/>
      <w:r>
        <w:t>Resumo</w:t>
      </w:r>
      <w:proofErr w:type="spellEnd"/>
      <w:r>
        <w:t xml:space="preserve"> Técnico – </w:t>
      </w:r>
      <w:proofErr w:type="spellStart"/>
      <w:r>
        <w:t>Artigo</w:t>
      </w:r>
      <w:proofErr w:type="spellEnd"/>
      <w:r>
        <w:t>: Disaster resilience: a bounce back or bounce forward ability?</w:t>
      </w:r>
    </w:p>
    <w:p w14:paraId="2750CC06" w14:textId="77777777" w:rsidR="00294C3F" w:rsidRDefault="00294C3F" w:rsidP="00294C3F"/>
    <w:p w14:paraId="67959286" w14:textId="77777777" w:rsidR="00294C3F" w:rsidRDefault="00294C3F" w:rsidP="00294C3F">
      <w:proofErr w:type="spellStart"/>
      <w:r>
        <w:t>Título</w:t>
      </w:r>
      <w:proofErr w:type="spellEnd"/>
      <w:r>
        <w:t xml:space="preserve"> e </w:t>
      </w:r>
      <w:proofErr w:type="spellStart"/>
      <w:r>
        <w:t>Autores</w:t>
      </w:r>
      <w:proofErr w:type="spellEnd"/>
    </w:p>
    <w:p w14:paraId="70231DD5" w14:textId="77777777" w:rsidR="00294C3F" w:rsidRDefault="00294C3F" w:rsidP="00294C3F">
      <w:r>
        <w:t>Disaster resilience: a bounce back or bounce forward ability?</w:t>
      </w:r>
    </w:p>
    <w:p w14:paraId="0E3C5796" w14:textId="77777777" w:rsidR="00294C3F" w:rsidRDefault="00294C3F" w:rsidP="00294C3F">
      <w:proofErr w:type="spellStart"/>
      <w:r>
        <w:t>Autores</w:t>
      </w:r>
      <w:proofErr w:type="spellEnd"/>
      <w:r>
        <w:t xml:space="preserve">: </w:t>
      </w:r>
      <w:proofErr w:type="spellStart"/>
      <w:r>
        <w:t>Siambabala</w:t>
      </w:r>
      <w:proofErr w:type="spellEnd"/>
      <w:r>
        <w:t xml:space="preserve"> Bernard Manyena, Geoff O’Brien, Phil O’Keefe, Joanne Rose</w:t>
      </w:r>
    </w:p>
    <w:p w14:paraId="3BF8DBDA" w14:textId="77777777" w:rsidR="00294C3F" w:rsidRDefault="00294C3F" w:rsidP="00294C3F">
      <w:proofErr w:type="spellStart"/>
      <w:r>
        <w:t>Afiliação</w:t>
      </w:r>
      <w:proofErr w:type="spellEnd"/>
      <w:r>
        <w:t>: School of Built and Natural Environment, Northumbria University, Newcastle upon Tyne, UK</w:t>
      </w:r>
    </w:p>
    <w:p w14:paraId="2F4B6383" w14:textId="77777777" w:rsidR="00294C3F" w:rsidRDefault="00294C3F" w:rsidP="00294C3F"/>
    <w:p w14:paraId="5517032D" w14:textId="77A6E9D0" w:rsidR="00294C3F" w:rsidRPr="00294C3F" w:rsidRDefault="00294C3F" w:rsidP="00294C3F">
      <w:pPr>
        <w:rPr>
          <w:lang w:val="pt-BR"/>
        </w:rPr>
      </w:pPr>
      <w:r w:rsidRPr="00294C3F">
        <w:rPr>
          <w:lang w:val="pt-BR"/>
        </w:rPr>
        <w:t>Resumo Abstract</w:t>
      </w:r>
    </w:p>
    <w:p w14:paraId="6EE1AC0A" w14:textId="2F815874" w:rsidR="00294C3F" w:rsidRDefault="00294C3F" w:rsidP="00294C3F">
      <w:pPr>
        <w:rPr>
          <w:lang w:val="pt-BR"/>
        </w:rPr>
      </w:pPr>
      <w:r w:rsidRPr="00294C3F">
        <w:rPr>
          <w:lang w:val="pt-BR"/>
        </w:rPr>
        <w:t xml:space="preserve">Este artigo discute criticamente a evolução do conceito de resiliência no contexto de desastres, questionando o modelo tradicional de </w:t>
      </w:r>
      <w:r w:rsidRPr="00E07D60">
        <w:rPr>
          <w:u w:val="single"/>
          <w:lang w:val="pt-BR"/>
        </w:rPr>
        <w:t>retorno ao normal</w:t>
      </w:r>
      <w:r w:rsidRPr="00294C3F">
        <w:rPr>
          <w:lang w:val="pt-BR"/>
        </w:rPr>
        <w:t xml:space="preserve"> ou </w:t>
      </w:r>
      <w:proofErr w:type="spellStart"/>
      <w:r w:rsidRPr="00E07D60">
        <w:rPr>
          <w:i/>
          <w:iCs/>
          <w:lang w:val="pt-BR"/>
        </w:rPr>
        <w:t>bounce</w:t>
      </w:r>
      <w:proofErr w:type="spellEnd"/>
      <w:r w:rsidRPr="00E07D60">
        <w:rPr>
          <w:i/>
          <w:iCs/>
          <w:lang w:val="pt-BR"/>
        </w:rPr>
        <w:t xml:space="preserve"> </w:t>
      </w:r>
      <w:proofErr w:type="spellStart"/>
      <w:r w:rsidRPr="00E07D60">
        <w:rPr>
          <w:i/>
          <w:iCs/>
          <w:lang w:val="pt-BR"/>
        </w:rPr>
        <w:t>back</w:t>
      </w:r>
      <w:proofErr w:type="spellEnd"/>
      <w:r w:rsidRPr="00294C3F">
        <w:rPr>
          <w:lang w:val="pt-BR"/>
        </w:rPr>
        <w:t xml:space="preserve">. Os autores propõem uma abordagem alternativa: a resiliência como capacidade de avançar ou </w:t>
      </w:r>
      <w:proofErr w:type="spellStart"/>
      <w:r w:rsidRPr="00E07D60">
        <w:rPr>
          <w:i/>
          <w:iCs/>
          <w:lang w:val="pt-BR"/>
        </w:rPr>
        <w:t>bounce</w:t>
      </w:r>
      <w:proofErr w:type="spellEnd"/>
      <w:r w:rsidRPr="00E07D60">
        <w:rPr>
          <w:i/>
          <w:iCs/>
          <w:lang w:val="pt-BR"/>
        </w:rPr>
        <w:t xml:space="preserve"> </w:t>
      </w:r>
      <w:proofErr w:type="spellStart"/>
      <w:r w:rsidRPr="00E07D60">
        <w:rPr>
          <w:i/>
          <w:iCs/>
          <w:lang w:val="pt-BR"/>
        </w:rPr>
        <w:t>forward</w:t>
      </w:r>
      <w:proofErr w:type="spellEnd"/>
      <w:r w:rsidRPr="00294C3F">
        <w:rPr>
          <w:lang w:val="pt-BR"/>
        </w:rPr>
        <w:t>, que reconhece e incorpora as mudanças provocadas por eventos extremos. Essa perspectiva tem implicações filosóficas, psicológicas e institucionais importantes para a formulação de políticas públicas e a reconstrução pós-desastre.</w:t>
      </w:r>
    </w:p>
    <w:p w14:paraId="0887C4F6" w14:textId="77777777" w:rsidR="00294C3F" w:rsidRPr="00294C3F" w:rsidRDefault="00294C3F" w:rsidP="00294C3F">
      <w:pPr>
        <w:rPr>
          <w:lang w:val="pt-BR"/>
        </w:rPr>
      </w:pPr>
    </w:p>
    <w:p w14:paraId="6291DB8A" w14:textId="77777777" w:rsidR="00294C3F" w:rsidRPr="00294C3F" w:rsidRDefault="00294C3F" w:rsidP="00294C3F">
      <w:pPr>
        <w:rPr>
          <w:lang w:val="pt-BR"/>
        </w:rPr>
      </w:pPr>
      <w:r w:rsidRPr="00294C3F">
        <w:rPr>
          <w:lang w:val="pt-BR"/>
        </w:rPr>
        <w:t>1. Introdução</w:t>
      </w:r>
    </w:p>
    <w:p w14:paraId="10A02A28" w14:textId="0DBDB971" w:rsidR="00294C3F" w:rsidRDefault="00294C3F" w:rsidP="00294C3F">
      <w:pPr>
        <w:rPr>
          <w:lang w:val="pt-BR"/>
        </w:rPr>
      </w:pPr>
      <w:r w:rsidRPr="00294C3F">
        <w:rPr>
          <w:lang w:val="pt-BR"/>
        </w:rPr>
        <w:t xml:space="preserve">A introdução do artigo destaca a crescente relevância da resiliência desde a Conferência Mundial sobre Redução de Desastres em 2005. O debate gira em torno da distinção entre resiliência e vulnerabilidade. A noção de </w:t>
      </w:r>
      <w:proofErr w:type="spellStart"/>
      <w:r w:rsidRPr="00E07D60">
        <w:rPr>
          <w:i/>
          <w:iCs/>
          <w:lang w:val="pt-BR"/>
        </w:rPr>
        <w:t>bounce</w:t>
      </w:r>
      <w:proofErr w:type="spellEnd"/>
      <w:r w:rsidRPr="00E07D60">
        <w:rPr>
          <w:i/>
          <w:iCs/>
          <w:lang w:val="pt-BR"/>
        </w:rPr>
        <w:t xml:space="preserve"> </w:t>
      </w:r>
      <w:proofErr w:type="spellStart"/>
      <w:r w:rsidRPr="00E07D60">
        <w:rPr>
          <w:i/>
          <w:iCs/>
          <w:lang w:val="pt-BR"/>
        </w:rPr>
        <w:t>back</w:t>
      </w:r>
      <w:proofErr w:type="spellEnd"/>
      <w:r w:rsidRPr="00294C3F">
        <w:rPr>
          <w:lang w:val="pt-BR"/>
        </w:rPr>
        <w:t xml:space="preserve"> ajuda a distinguir os dois conceitos, mas ignora o fato de que os desastres produzem transformações profundas. Assim, propõe-se ver a resiliência como </w:t>
      </w:r>
      <w:proofErr w:type="spellStart"/>
      <w:r w:rsidRPr="00E07D60">
        <w:rPr>
          <w:i/>
          <w:iCs/>
          <w:lang w:val="pt-BR"/>
        </w:rPr>
        <w:t>bounce</w:t>
      </w:r>
      <w:proofErr w:type="spellEnd"/>
      <w:r w:rsidRPr="00E07D60">
        <w:rPr>
          <w:i/>
          <w:iCs/>
          <w:lang w:val="pt-BR"/>
        </w:rPr>
        <w:t xml:space="preserve"> </w:t>
      </w:r>
      <w:proofErr w:type="spellStart"/>
      <w:r w:rsidRPr="00E07D60">
        <w:rPr>
          <w:i/>
          <w:iCs/>
          <w:lang w:val="pt-BR"/>
        </w:rPr>
        <w:t>forward</w:t>
      </w:r>
      <w:proofErr w:type="spellEnd"/>
      <w:r w:rsidRPr="00294C3F">
        <w:rPr>
          <w:lang w:val="pt-BR"/>
        </w:rPr>
        <w:t>, enfatizando adaptação e transformação.</w:t>
      </w:r>
    </w:p>
    <w:p w14:paraId="019F06DC" w14:textId="77777777" w:rsidR="00294C3F" w:rsidRPr="00294C3F" w:rsidRDefault="00294C3F" w:rsidP="00294C3F">
      <w:pPr>
        <w:rPr>
          <w:lang w:val="pt-BR"/>
        </w:rPr>
      </w:pPr>
    </w:p>
    <w:p w14:paraId="6B7DFF05" w14:textId="77777777" w:rsidR="00294C3F" w:rsidRPr="00294C3F" w:rsidRDefault="00294C3F" w:rsidP="00294C3F">
      <w:pPr>
        <w:rPr>
          <w:lang w:val="pt-BR"/>
        </w:rPr>
      </w:pPr>
      <w:r w:rsidRPr="00294C3F">
        <w:rPr>
          <w:lang w:val="pt-BR"/>
        </w:rPr>
        <w:t>2. Metodologia</w:t>
      </w:r>
    </w:p>
    <w:p w14:paraId="5BAD4F63" w14:textId="77777777" w:rsidR="00294C3F" w:rsidRDefault="00294C3F" w:rsidP="00294C3F">
      <w:pPr>
        <w:rPr>
          <w:lang w:val="pt-BR"/>
        </w:rPr>
      </w:pPr>
      <w:r w:rsidRPr="00294C3F">
        <w:rPr>
          <w:lang w:val="pt-BR"/>
        </w:rPr>
        <w:t>O artigo é de natureza conceitual e teórica, com base em revisão bibliográfica e análise crítica de casos reais. Utiliza exemplos históricos e contemporâneos (como os terremotos do Irã, o tsunami no Sri Lanka, a crise no Zimbábue e o desastre nuclear de Fukushima) para ilustrar o argumento central. Também discute as implicações institucionais com base em políticas públicas do Reino Unido e intervenções em comunidades afetadas por desastres.</w:t>
      </w:r>
    </w:p>
    <w:p w14:paraId="6AC63F8F" w14:textId="77777777" w:rsidR="00294C3F" w:rsidRPr="00294C3F" w:rsidRDefault="00294C3F" w:rsidP="00294C3F">
      <w:pPr>
        <w:rPr>
          <w:lang w:val="pt-BR"/>
        </w:rPr>
      </w:pPr>
    </w:p>
    <w:p w14:paraId="22CB6A73" w14:textId="77777777" w:rsidR="00294C3F" w:rsidRPr="00294C3F" w:rsidRDefault="00294C3F" w:rsidP="00294C3F">
      <w:pPr>
        <w:rPr>
          <w:lang w:val="pt-BR"/>
        </w:rPr>
      </w:pPr>
      <w:r w:rsidRPr="00294C3F">
        <w:rPr>
          <w:lang w:val="pt-BR"/>
        </w:rPr>
        <w:t>3. Resultados</w:t>
      </w:r>
    </w:p>
    <w:p w14:paraId="70BF7D50" w14:textId="3D56C966" w:rsidR="00294C3F" w:rsidRDefault="00294C3F" w:rsidP="00294C3F">
      <w:pPr>
        <w:rPr>
          <w:lang w:val="pt-BR"/>
        </w:rPr>
      </w:pPr>
      <w:r w:rsidRPr="00294C3F">
        <w:rPr>
          <w:lang w:val="pt-BR"/>
        </w:rPr>
        <w:t xml:space="preserve">O artigo propõe que a resiliência deva ser concebida como uma capacidade adaptativa e propositiva. O modelo de </w:t>
      </w:r>
      <w:proofErr w:type="spellStart"/>
      <w:r w:rsidRPr="00E07D60">
        <w:rPr>
          <w:i/>
          <w:iCs/>
          <w:lang w:val="pt-BR"/>
        </w:rPr>
        <w:t>bounce</w:t>
      </w:r>
      <w:proofErr w:type="spellEnd"/>
      <w:r w:rsidRPr="00E07D60">
        <w:rPr>
          <w:i/>
          <w:iCs/>
          <w:lang w:val="pt-BR"/>
        </w:rPr>
        <w:t xml:space="preserve"> </w:t>
      </w:r>
      <w:proofErr w:type="spellStart"/>
      <w:r w:rsidRPr="00E07D60">
        <w:rPr>
          <w:i/>
          <w:iCs/>
          <w:lang w:val="pt-BR"/>
        </w:rPr>
        <w:t>forward</w:t>
      </w:r>
      <w:proofErr w:type="spellEnd"/>
      <w:r w:rsidRPr="00294C3F">
        <w:rPr>
          <w:lang w:val="pt-BR"/>
        </w:rPr>
        <w:t xml:space="preserve"> permite uma reestruturação social, institucional e infraestrutural mais adequada às novas realidades pós-desastre. Casos como o da reforma dos serviços de incêndio no Reino Unido e da reconstrução na Somália demonstram como mudanças estruturais e aprendizado institucional podem incorporar lições de desastres anteriores.</w:t>
      </w:r>
    </w:p>
    <w:p w14:paraId="4544203A" w14:textId="77777777" w:rsidR="00294C3F" w:rsidRPr="00294C3F" w:rsidRDefault="00294C3F" w:rsidP="00294C3F">
      <w:pPr>
        <w:rPr>
          <w:lang w:val="pt-BR"/>
        </w:rPr>
      </w:pPr>
    </w:p>
    <w:p w14:paraId="7D376776" w14:textId="77777777" w:rsidR="00294C3F" w:rsidRPr="00294C3F" w:rsidRDefault="00294C3F" w:rsidP="00294C3F">
      <w:pPr>
        <w:rPr>
          <w:lang w:val="pt-BR"/>
        </w:rPr>
      </w:pPr>
      <w:r w:rsidRPr="00294C3F">
        <w:rPr>
          <w:lang w:val="pt-BR"/>
        </w:rPr>
        <w:t>4. Discussão</w:t>
      </w:r>
    </w:p>
    <w:p w14:paraId="51890E61" w14:textId="54A3BC7B" w:rsidR="00294C3F" w:rsidRDefault="00294C3F" w:rsidP="00294C3F">
      <w:pPr>
        <w:rPr>
          <w:lang w:val="pt-BR"/>
        </w:rPr>
      </w:pPr>
      <w:r w:rsidRPr="00294C3F">
        <w:rPr>
          <w:lang w:val="pt-BR"/>
        </w:rPr>
        <w:t xml:space="preserve">A discussão critica a visão tradicional de resiliência centrada no retorno ao estado anterior. A abordagem </w:t>
      </w:r>
      <w:proofErr w:type="spellStart"/>
      <w:r w:rsidRPr="00E07D60">
        <w:rPr>
          <w:i/>
          <w:iCs/>
          <w:lang w:val="pt-BR"/>
        </w:rPr>
        <w:t>bounce</w:t>
      </w:r>
      <w:proofErr w:type="spellEnd"/>
      <w:r w:rsidRPr="00E07D60">
        <w:rPr>
          <w:i/>
          <w:iCs/>
          <w:lang w:val="pt-BR"/>
        </w:rPr>
        <w:t xml:space="preserve"> </w:t>
      </w:r>
      <w:proofErr w:type="spellStart"/>
      <w:r w:rsidRPr="00E07D60">
        <w:rPr>
          <w:i/>
          <w:iCs/>
          <w:lang w:val="pt-BR"/>
        </w:rPr>
        <w:t>forward</w:t>
      </w:r>
      <w:proofErr w:type="spellEnd"/>
      <w:r w:rsidRPr="00294C3F">
        <w:rPr>
          <w:lang w:val="pt-BR"/>
        </w:rPr>
        <w:t xml:space="preserve"> considera os desastres como catalisadores de mudanças e potencializa </w:t>
      </w:r>
      <w:r w:rsidRPr="00294C3F">
        <w:rPr>
          <w:lang w:val="pt-BR"/>
        </w:rPr>
        <w:lastRenderedPageBreak/>
        <w:t xml:space="preserve">ações transformadoras nas comunidades afetadas. Além disso, distingue os tipos de aprendizado institucional: o aprendizado de </w:t>
      </w:r>
      <w:r w:rsidRPr="00E07D60">
        <w:rPr>
          <w:i/>
          <w:iCs/>
          <w:lang w:val="pt-BR"/>
        </w:rPr>
        <w:t>loop</w:t>
      </w:r>
      <w:r w:rsidRPr="00294C3F">
        <w:rPr>
          <w:lang w:val="pt-BR"/>
        </w:rPr>
        <w:t xml:space="preserve"> simples, focado em correção de erros operacionais, e o aprendizado de </w:t>
      </w:r>
      <w:r w:rsidRPr="00E07D60">
        <w:rPr>
          <w:i/>
          <w:iCs/>
          <w:lang w:val="pt-BR"/>
        </w:rPr>
        <w:t>loop</w:t>
      </w:r>
      <w:r w:rsidRPr="00294C3F">
        <w:rPr>
          <w:lang w:val="pt-BR"/>
        </w:rPr>
        <w:t xml:space="preserve"> duplo, que revisita valores, suposições e políticas estruturantes. Esse segundo tipo é essencial para promover resiliência real e duradoura.</w:t>
      </w:r>
    </w:p>
    <w:p w14:paraId="320F24A8" w14:textId="77777777" w:rsidR="00294C3F" w:rsidRPr="00294C3F" w:rsidRDefault="00294C3F" w:rsidP="00294C3F">
      <w:pPr>
        <w:rPr>
          <w:lang w:val="pt-BR"/>
        </w:rPr>
      </w:pPr>
    </w:p>
    <w:p w14:paraId="11F98A77" w14:textId="77777777" w:rsidR="00294C3F" w:rsidRPr="00294C3F" w:rsidRDefault="00294C3F" w:rsidP="00294C3F">
      <w:pPr>
        <w:rPr>
          <w:lang w:val="pt-BR"/>
        </w:rPr>
      </w:pPr>
      <w:r w:rsidRPr="00294C3F">
        <w:rPr>
          <w:lang w:val="pt-BR"/>
        </w:rPr>
        <w:t>5. Conclusão crítica</w:t>
      </w:r>
    </w:p>
    <w:p w14:paraId="2D41A7EF" w14:textId="3366576A" w:rsidR="00294C3F" w:rsidRDefault="00294C3F" w:rsidP="00294C3F">
      <w:pPr>
        <w:rPr>
          <w:lang w:val="pt-BR"/>
        </w:rPr>
      </w:pPr>
      <w:r w:rsidRPr="00294C3F">
        <w:rPr>
          <w:lang w:val="pt-BR"/>
        </w:rPr>
        <w:t xml:space="preserve">A resiliência deve ser entendida como um conceito dinâmico, voltado para a transformação e não apenas para a restauração. A abordagem </w:t>
      </w:r>
      <w:proofErr w:type="spellStart"/>
      <w:r w:rsidRPr="00E07D60">
        <w:rPr>
          <w:i/>
          <w:iCs/>
          <w:lang w:val="pt-BR"/>
        </w:rPr>
        <w:t>bounce</w:t>
      </w:r>
      <w:proofErr w:type="spellEnd"/>
      <w:r w:rsidRPr="00E07D60">
        <w:rPr>
          <w:i/>
          <w:iCs/>
          <w:lang w:val="pt-BR"/>
        </w:rPr>
        <w:t xml:space="preserve"> </w:t>
      </w:r>
      <w:proofErr w:type="spellStart"/>
      <w:r w:rsidRPr="00E07D60">
        <w:rPr>
          <w:i/>
          <w:iCs/>
          <w:lang w:val="pt-BR"/>
        </w:rPr>
        <w:t>forward</w:t>
      </w:r>
      <w:proofErr w:type="spellEnd"/>
      <w:r w:rsidRPr="00294C3F">
        <w:rPr>
          <w:lang w:val="pt-BR"/>
        </w:rPr>
        <w:t xml:space="preserve"> oferece uma nova perspectiva, mais alinhada com os desafios contemporâneos, como a mudança climática e as desigualdades socioeconômicas. O artigo reforça a importância de estratégias comunitárias, justiça ambiental e aprendizagem social para construir comunidades mais preparadas e adaptativas.</w:t>
      </w:r>
    </w:p>
    <w:p w14:paraId="700CC036" w14:textId="77777777" w:rsidR="00294C3F" w:rsidRPr="00294C3F" w:rsidRDefault="00294C3F" w:rsidP="00294C3F">
      <w:pPr>
        <w:rPr>
          <w:lang w:val="pt-BR"/>
        </w:rPr>
      </w:pPr>
    </w:p>
    <w:p w14:paraId="4AD45836" w14:textId="77777777" w:rsidR="00294C3F" w:rsidRPr="00294C3F" w:rsidRDefault="00294C3F" w:rsidP="00294C3F">
      <w:pPr>
        <w:rPr>
          <w:lang w:val="pt-BR"/>
        </w:rPr>
      </w:pPr>
      <w:r w:rsidRPr="00294C3F">
        <w:rPr>
          <w:lang w:val="pt-BR"/>
        </w:rPr>
        <w:t>Resumo dos Achados Principais</w:t>
      </w:r>
    </w:p>
    <w:p w14:paraId="4F48E808" w14:textId="2C105762" w:rsidR="00294C3F" w:rsidRPr="00294C3F" w:rsidRDefault="00294C3F" w:rsidP="00294C3F">
      <w:pPr>
        <w:rPr>
          <w:lang w:val="pt-BR"/>
        </w:rPr>
      </w:pPr>
      <w:r w:rsidRPr="00294C3F">
        <w:rPr>
          <w:lang w:val="pt-BR"/>
        </w:rPr>
        <w:t xml:space="preserve">- </w:t>
      </w:r>
      <w:proofErr w:type="spellStart"/>
      <w:r w:rsidRPr="00E07D60">
        <w:rPr>
          <w:i/>
          <w:iCs/>
          <w:lang w:val="pt-BR"/>
        </w:rPr>
        <w:t>Bounce</w:t>
      </w:r>
      <w:proofErr w:type="spellEnd"/>
      <w:r w:rsidRPr="00E07D60">
        <w:rPr>
          <w:i/>
          <w:iCs/>
          <w:lang w:val="pt-BR"/>
        </w:rPr>
        <w:t xml:space="preserve"> </w:t>
      </w:r>
      <w:proofErr w:type="spellStart"/>
      <w:r w:rsidRPr="00E07D60">
        <w:rPr>
          <w:i/>
          <w:iCs/>
          <w:lang w:val="pt-BR"/>
        </w:rPr>
        <w:t>forward</w:t>
      </w:r>
      <w:proofErr w:type="spellEnd"/>
      <w:r w:rsidRPr="00294C3F">
        <w:rPr>
          <w:lang w:val="pt-BR"/>
        </w:rPr>
        <w:t xml:space="preserve"> é mais eficaz do que </w:t>
      </w:r>
      <w:proofErr w:type="spellStart"/>
      <w:r w:rsidRPr="00E07D60">
        <w:rPr>
          <w:i/>
          <w:iCs/>
          <w:lang w:val="pt-BR"/>
        </w:rPr>
        <w:t>bounce</w:t>
      </w:r>
      <w:proofErr w:type="spellEnd"/>
      <w:r w:rsidRPr="00E07D60">
        <w:rPr>
          <w:i/>
          <w:iCs/>
          <w:lang w:val="pt-BR"/>
        </w:rPr>
        <w:t xml:space="preserve"> </w:t>
      </w:r>
      <w:proofErr w:type="spellStart"/>
      <w:r w:rsidRPr="00E07D60">
        <w:rPr>
          <w:i/>
          <w:iCs/>
          <w:lang w:val="pt-BR"/>
        </w:rPr>
        <w:t>back</w:t>
      </w:r>
      <w:proofErr w:type="spellEnd"/>
      <w:r w:rsidRPr="00294C3F">
        <w:rPr>
          <w:lang w:val="pt-BR"/>
        </w:rPr>
        <w:t xml:space="preserve"> na resiliência pós-desastre.</w:t>
      </w:r>
    </w:p>
    <w:p w14:paraId="3AFA61A2" w14:textId="77777777" w:rsidR="00294C3F" w:rsidRPr="00294C3F" w:rsidRDefault="00294C3F" w:rsidP="00294C3F">
      <w:pPr>
        <w:rPr>
          <w:lang w:val="pt-BR"/>
        </w:rPr>
      </w:pPr>
      <w:r w:rsidRPr="00294C3F">
        <w:rPr>
          <w:lang w:val="pt-BR"/>
        </w:rPr>
        <w:t>- A vulnerabilidade não é apenas técnica, mas estrutural e política.</w:t>
      </w:r>
    </w:p>
    <w:p w14:paraId="32805ED1" w14:textId="77777777" w:rsidR="00294C3F" w:rsidRPr="00294C3F" w:rsidRDefault="00294C3F" w:rsidP="00294C3F">
      <w:pPr>
        <w:rPr>
          <w:lang w:val="pt-BR"/>
        </w:rPr>
      </w:pPr>
      <w:r w:rsidRPr="00294C3F">
        <w:rPr>
          <w:lang w:val="pt-BR"/>
        </w:rPr>
        <w:t>- A aprendizagem institucional é chave para mudanças duradouras.</w:t>
      </w:r>
    </w:p>
    <w:p w14:paraId="01C23F09" w14:textId="77777777" w:rsidR="00294C3F" w:rsidRPr="00294C3F" w:rsidRDefault="00294C3F" w:rsidP="00294C3F">
      <w:pPr>
        <w:rPr>
          <w:lang w:val="pt-BR"/>
        </w:rPr>
      </w:pPr>
      <w:r w:rsidRPr="00294C3F">
        <w:rPr>
          <w:lang w:val="pt-BR"/>
        </w:rPr>
        <w:t>- A participação comunitária e o redesenho de políticas públicas são essenciais.</w:t>
      </w:r>
    </w:p>
    <w:p w14:paraId="13F8FE36" w14:textId="541796E4" w:rsidR="00294C3F" w:rsidRDefault="00294C3F" w:rsidP="00294C3F">
      <w:pPr>
        <w:rPr>
          <w:lang w:val="pt-BR"/>
        </w:rPr>
      </w:pPr>
    </w:p>
    <w:p w14:paraId="3883B61A" w14:textId="77777777" w:rsidR="00FD011A" w:rsidRDefault="00FD011A" w:rsidP="00FD011A">
      <w:r w:rsidRPr="00BC0459">
        <w:t>Disaster resilience -a bounce back or bounce forward ability</w:t>
      </w:r>
      <w:r>
        <w:t>?</w:t>
      </w:r>
    </w:p>
    <w:p w14:paraId="2FEDDDA9" w14:textId="77777777" w:rsidR="00FD011A" w:rsidRDefault="00FD011A" w:rsidP="00FD011A"/>
    <w:p w14:paraId="535D6A8B" w14:textId="77777777" w:rsidR="00FD011A" w:rsidRPr="00FD011A" w:rsidRDefault="00FD011A" w:rsidP="00FD011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FD011A">
        <w:rPr>
          <w:rFonts w:eastAsia="Times New Roman" w:cs="Times New Roman"/>
          <w:sz w:val="24"/>
          <w:szCs w:val="24"/>
          <w:lang w:val="pt-PT" w:eastAsia="pt-PT"/>
        </w:rPr>
        <w:t xml:space="preserve">Trata-se de um </w:t>
      </w:r>
      <w:r w:rsidRPr="00FD011A">
        <w:rPr>
          <w:rFonts w:eastAsia="Times New Roman" w:cs="Times New Roman"/>
          <w:b/>
          <w:bCs/>
          <w:sz w:val="24"/>
          <w:szCs w:val="24"/>
          <w:lang w:val="pt-PT" w:eastAsia="pt-PT"/>
        </w:rPr>
        <w:t>artigo editorial-conceitual</w:t>
      </w:r>
      <w:r w:rsidRPr="00FD011A">
        <w:rPr>
          <w:rFonts w:eastAsia="Times New Roman" w:cs="Times New Roman"/>
          <w:sz w:val="24"/>
          <w:szCs w:val="24"/>
          <w:lang w:val="pt-PT" w:eastAsia="pt-PT"/>
        </w:rPr>
        <w:t xml:space="preserve"> que aprofunda o debate </w:t>
      </w:r>
      <w:r w:rsidRPr="00FD011A">
        <w:rPr>
          <w:rFonts w:eastAsia="Times New Roman" w:cs="Times New Roman"/>
          <w:b/>
          <w:bCs/>
          <w:sz w:val="24"/>
          <w:szCs w:val="24"/>
          <w:lang w:val="pt-PT" w:eastAsia="pt-PT"/>
        </w:rPr>
        <w:t>“</w:t>
      </w:r>
      <w:proofErr w:type="spellStart"/>
      <w:r w:rsidRPr="00FD011A">
        <w:rPr>
          <w:rFonts w:eastAsia="Times New Roman" w:cs="Times New Roman"/>
          <w:b/>
          <w:bCs/>
          <w:sz w:val="24"/>
          <w:szCs w:val="24"/>
          <w:lang w:val="pt-PT" w:eastAsia="pt-PT"/>
        </w:rPr>
        <w:t>bounce</w:t>
      </w:r>
      <w:proofErr w:type="spellEnd"/>
      <w:r w:rsidRPr="00FD011A">
        <w:rPr>
          <w:rFonts w:eastAsia="Times New Roman" w:cs="Times New Roman"/>
          <w:b/>
          <w:bCs/>
          <w:sz w:val="24"/>
          <w:szCs w:val="24"/>
          <w:lang w:val="pt-PT" w:eastAsia="pt-PT"/>
        </w:rPr>
        <w:t xml:space="preserve"> </w:t>
      </w:r>
      <w:proofErr w:type="spellStart"/>
      <w:r w:rsidRPr="00FD011A">
        <w:rPr>
          <w:rFonts w:eastAsia="Times New Roman" w:cs="Times New Roman"/>
          <w:b/>
          <w:bCs/>
          <w:sz w:val="24"/>
          <w:szCs w:val="24"/>
          <w:lang w:val="pt-PT" w:eastAsia="pt-PT"/>
        </w:rPr>
        <w:t>back</w:t>
      </w:r>
      <w:proofErr w:type="spellEnd"/>
      <w:r w:rsidRPr="00FD011A">
        <w:rPr>
          <w:rFonts w:eastAsia="Times New Roman" w:cs="Times New Roman"/>
          <w:b/>
          <w:bCs/>
          <w:sz w:val="24"/>
          <w:szCs w:val="24"/>
          <w:lang w:val="pt-PT" w:eastAsia="pt-PT"/>
        </w:rPr>
        <w:t>” vs. “</w:t>
      </w:r>
      <w:proofErr w:type="spellStart"/>
      <w:r w:rsidRPr="00FD011A">
        <w:rPr>
          <w:rFonts w:eastAsia="Times New Roman" w:cs="Times New Roman"/>
          <w:b/>
          <w:bCs/>
          <w:sz w:val="24"/>
          <w:szCs w:val="24"/>
          <w:lang w:val="pt-PT" w:eastAsia="pt-PT"/>
        </w:rPr>
        <w:t>bounce</w:t>
      </w:r>
      <w:proofErr w:type="spellEnd"/>
      <w:r w:rsidRPr="00FD011A">
        <w:rPr>
          <w:rFonts w:eastAsia="Times New Roman" w:cs="Times New Roman"/>
          <w:b/>
          <w:bCs/>
          <w:sz w:val="24"/>
          <w:szCs w:val="24"/>
          <w:lang w:val="pt-PT" w:eastAsia="pt-PT"/>
        </w:rPr>
        <w:t xml:space="preserve"> </w:t>
      </w:r>
      <w:proofErr w:type="spellStart"/>
      <w:r w:rsidRPr="00FD011A">
        <w:rPr>
          <w:rFonts w:eastAsia="Times New Roman" w:cs="Times New Roman"/>
          <w:b/>
          <w:bCs/>
          <w:sz w:val="24"/>
          <w:szCs w:val="24"/>
          <w:lang w:val="pt-PT" w:eastAsia="pt-PT"/>
        </w:rPr>
        <w:t>forward</w:t>
      </w:r>
      <w:proofErr w:type="spellEnd"/>
      <w:r w:rsidRPr="00FD011A">
        <w:rPr>
          <w:rFonts w:eastAsia="Times New Roman" w:cs="Times New Roman"/>
          <w:b/>
          <w:bCs/>
          <w:sz w:val="24"/>
          <w:szCs w:val="24"/>
          <w:lang w:val="pt-PT" w:eastAsia="pt-PT"/>
        </w:rPr>
        <w:t>”</w:t>
      </w:r>
      <w:r w:rsidRPr="00FD011A">
        <w:rPr>
          <w:rFonts w:eastAsia="Times New Roman" w:cs="Times New Roman"/>
          <w:sz w:val="24"/>
          <w:szCs w:val="24"/>
          <w:lang w:val="pt-PT" w:eastAsia="pt-PT"/>
        </w:rPr>
        <w:t xml:space="preserve"> no campo dos </w:t>
      </w:r>
      <w:r w:rsidRPr="00FD011A">
        <w:rPr>
          <w:rFonts w:eastAsia="Times New Roman" w:cs="Times New Roman"/>
          <w:b/>
          <w:bCs/>
          <w:sz w:val="24"/>
          <w:szCs w:val="24"/>
          <w:lang w:val="pt-PT" w:eastAsia="pt-PT"/>
        </w:rPr>
        <w:t>desastres e resiliência</w:t>
      </w:r>
      <w:r w:rsidRPr="00FD011A">
        <w:rPr>
          <w:rFonts w:eastAsia="Times New Roman" w:cs="Times New Roman"/>
          <w:sz w:val="24"/>
          <w:szCs w:val="24"/>
          <w:lang w:val="pt-PT" w:eastAsia="pt-PT"/>
        </w:rPr>
        <w:t xml:space="preserve">, com base em </w:t>
      </w:r>
      <w:r w:rsidRPr="00FD011A">
        <w:rPr>
          <w:rFonts w:eastAsia="Times New Roman" w:cs="Times New Roman"/>
          <w:b/>
          <w:bCs/>
          <w:sz w:val="24"/>
          <w:szCs w:val="24"/>
          <w:lang w:val="pt-PT" w:eastAsia="pt-PT"/>
        </w:rPr>
        <w:t>ciências sociais, governança e aprendizagem organizacional</w:t>
      </w:r>
      <w:r w:rsidRPr="00FD011A">
        <w:rPr>
          <w:rFonts w:eastAsia="Times New Roman" w:cs="Times New Roman"/>
          <w:sz w:val="24"/>
          <w:szCs w:val="24"/>
          <w:lang w:val="pt-PT" w:eastAsia="pt-PT"/>
        </w:rPr>
        <w:t xml:space="preserve">. O texto </w:t>
      </w:r>
      <w:r w:rsidRPr="00FD011A">
        <w:rPr>
          <w:rFonts w:eastAsia="Times New Roman" w:cs="Times New Roman"/>
          <w:b/>
          <w:bCs/>
          <w:sz w:val="24"/>
          <w:szCs w:val="24"/>
          <w:lang w:val="pt-PT" w:eastAsia="pt-PT"/>
        </w:rPr>
        <w:t>não apresenta formalismo matemático, métricas quantitativas ou aplicação engenheiral</w:t>
      </w:r>
      <w:r w:rsidRPr="00FD011A">
        <w:rPr>
          <w:rFonts w:eastAsia="Times New Roman" w:cs="Times New Roman"/>
          <w:sz w:val="24"/>
          <w:szCs w:val="24"/>
          <w:lang w:val="pt-PT" w:eastAsia="pt-PT"/>
        </w:rPr>
        <w:t>.</w:t>
      </w:r>
    </w:p>
    <w:p w14:paraId="41CD41A5" w14:textId="77777777" w:rsidR="00FD011A" w:rsidRPr="00CD1A99" w:rsidRDefault="00FD011A" w:rsidP="00FD011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proofErr w:type="spellStart"/>
      <w:r w:rsidRPr="00CD1A99">
        <w:rPr>
          <w:rFonts w:eastAsia="Times New Roman" w:cs="Times New Roman"/>
          <w:b/>
          <w:bCs/>
          <w:sz w:val="27"/>
          <w:szCs w:val="27"/>
          <w:lang w:eastAsia="pt-PT"/>
        </w:rPr>
        <w:t>Principais</w:t>
      </w:r>
      <w:proofErr w:type="spellEnd"/>
      <w:r w:rsidRPr="00CD1A99">
        <w:rPr>
          <w:rFonts w:eastAsia="Times New Roman" w:cs="Times New Roman"/>
          <w:b/>
          <w:bCs/>
          <w:sz w:val="27"/>
          <w:szCs w:val="27"/>
          <w:lang w:eastAsia="pt-PT"/>
        </w:rPr>
        <w:t xml:space="preserve"> </w:t>
      </w:r>
      <w:proofErr w:type="spellStart"/>
      <w:r w:rsidRPr="00CD1A99">
        <w:rPr>
          <w:rFonts w:eastAsia="Times New Roman" w:cs="Times New Roman"/>
          <w:b/>
          <w:bCs/>
          <w:sz w:val="27"/>
          <w:szCs w:val="27"/>
          <w:lang w:eastAsia="pt-PT"/>
        </w:rPr>
        <w:t>contributos</w:t>
      </w:r>
      <w:proofErr w:type="spellEnd"/>
      <w:r w:rsidRPr="00CD1A99">
        <w:rPr>
          <w:rFonts w:eastAsia="Times New Roman" w:cs="Times New Roman"/>
          <w:b/>
          <w:bCs/>
          <w:sz w:val="27"/>
          <w:szCs w:val="27"/>
          <w:lang w:eastAsia="pt-PT"/>
        </w:rPr>
        <w:t xml:space="preserve"> </w:t>
      </w:r>
      <w:proofErr w:type="spellStart"/>
      <w:r w:rsidRPr="00CD1A99">
        <w:rPr>
          <w:rFonts w:eastAsia="Times New Roman" w:cs="Times New Roman"/>
          <w:b/>
          <w:bCs/>
          <w:sz w:val="27"/>
          <w:szCs w:val="27"/>
          <w:lang w:eastAsia="pt-PT"/>
        </w:rPr>
        <w:t>conceituais</w:t>
      </w:r>
      <w:proofErr w:type="spellEnd"/>
    </w:p>
    <w:p w14:paraId="7A5C2709" w14:textId="77777777" w:rsidR="00FD011A" w:rsidRPr="00CD1A99" w:rsidRDefault="00FD011A" w:rsidP="00FD01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CD1A99">
        <w:rPr>
          <w:rFonts w:eastAsia="Times New Roman" w:cs="Times New Roman"/>
          <w:b/>
          <w:bCs/>
          <w:sz w:val="24"/>
          <w:szCs w:val="24"/>
          <w:lang w:eastAsia="pt-PT"/>
        </w:rPr>
        <w:t>Crítica</w:t>
      </w:r>
      <w:proofErr w:type="spellEnd"/>
      <w:r w:rsidRPr="00CD1A99">
        <w:rPr>
          <w:rFonts w:eastAsia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D1A99">
        <w:rPr>
          <w:rFonts w:eastAsia="Times New Roman" w:cs="Times New Roman"/>
          <w:b/>
          <w:bCs/>
          <w:sz w:val="24"/>
          <w:szCs w:val="24"/>
          <w:lang w:eastAsia="pt-PT"/>
        </w:rPr>
        <w:t>ao</w:t>
      </w:r>
      <w:proofErr w:type="spellEnd"/>
      <w:r w:rsidRPr="00CD1A99">
        <w:rPr>
          <w:rFonts w:eastAsia="Times New Roman" w:cs="Times New Roman"/>
          <w:b/>
          <w:bCs/>
          <w:sz w:val="24"/>
          <w:szCs w:val="24"/>
          <w:lang w:eastAsia="pt-PT"/>
        </w:rPr>
        <w:t xml:space="preserve"> “bounce back”</w:t>
      </w:r>
    </w:p>
    <w:p w14:paraId="3C528B24" w14:textId="77777777" w:rsidR="00FD011A" w:rsidRPr="00FD011A" w:rsidRDefault="00FD011A" w:rsidP="00FD01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FD011A">
        <w:rPr>
          <w:rFonts w:eastAsia="Times New Roman" w:cs="Times New Roman"/>
          <w:sz w:val="24"/>
          <w:szCs w:val="24"/>
          <w:lang w:val="pt-PT" w:eastAsia="pt-PT"/>
        </w:rPr>
        <w:t>Argumenta que retornar ao estado pré-desastre pode:</w:t>
      </w:r>
    </w:p>
    <w:p w14:paraId="45B0BC1E" w14:textId="77777777" w:rsidR="00FD011A" w:rsidRPr="00CD1A99" w:rsidRDefault="00FD011A" w:rsidP="00FD011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CD1A99">
        <w:rPr>
          <w:rFonts w:eastAsia="Times New Roman" w:cs="Times New Roman"/>
          <w:sz w:val="24"/>
          <w:szCs w:val="24"/>
          <w:lang w:eastAsia="pt-PT"/>
        </w:rPr>
        <w:t>perpetuar</w:t>
      </w:r>
      <w:proofErr w:type="spellEnd"/>
      <w:r w:rsidRPr="00CD1A99">
        <w:rPr>
          <w:rFonts w:eastAsia="Times New Roman" w:cs="Times New Roman"/>
          <w:sz w:val="24"/>
          <w:szCs w:val="24"/>
          <w:lang w:eastAsia="pt-PT"/>
        </w:rPr>
        <w:t xml:space="preserve"> </w:t>
      </w:r>
      <w:proofErr w:type="spellStart"/>
      <w:proofErr w:type="gramStart"/>
      <w:r w:rsidRPr="00CD1A99">
        <w:rPr>
          <w:rFonts w:eastAsia="Times New Roman" w:cs="Times New Roman"/>
          <w:sz w:val="24"/>
          <w:szCs w:val="24"/>
          <w:lang w:eastAsia="pt-PT"/>
        </w:rPr>
        <w:t>vulnerabilidades</w:t>
      </w:r>
      <w:proofErr w:type="spellEnd"/>
      <w:r w:rsidRPr="00CD1A99">
        <w:rPr>
          <w:rFonts w:eastAsia="Times New Roman" w:cs="Times New Roman"/>
          <w:sz w:val="24"/>
          <w:szCs w:val="24"/>
          <w:lang w:eastAsia="pt-PT"/>
        </w:rPr>
        <w:t>;</w:t>
      </w:r>
      <w:proofErr w:type="gramEnd"/>
    </w:p>
    <w:p w14:paraId="282DB526" w14:textId="77777777" w:rsidR="00FD011A" w:rsidRPr="00CD1A99" w:rsidRDefault="00FD011A" w:rsidP="00FD011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CD1A99">
        <w:rPr>
          <w:rFonts w:eastAsia="Times New Roman" w:cs="Times New Roman"/>
          <w:sz w:val="24"/>
          <w:szCs w:val="24"/>
          <w:lang w:eastAsia="pt-PT"/>
        </w:rPr>
        <w:t>reforçar</w:t>
      </w:r>
      <w:proofErr w:type="spellEnd"/>
      <w:r w:rsidRPr="00CD1A99">
        <w:rPr>
          <w:rFonts w:eastAsia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D1A99">
        <w:rPr>
          <w:rFonts w:eastAsia="Times New Roman" w:cs="Times New Roman"/>
          <w:sz w:val="24"/>
          <w:szCs w:val="24"/>
          <w:lang w:eastAsia="pt-PT"/>
        </w:rPr>
        <w:t>estruturas</w:t>
      </w:r>
      <w:proofErr w:type="spellEnd"/>
      <w:r w:rsidRPr="00CD1A99">
        <w:rPr>
          <w:rFonts w:eastAsia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D1A99">
        <w:rPr>
          <w:rFonts w:eastAsia="Times New Roman" w:cs="Times New Roman"/>
          <w:sz w:val="24"/>
          <w:szCs w:val="24"/>
          <w:lang w:eastAsia="pt-PT"/>
        </w:rPr>
        <w:t>institucionais</w:t>
      </w:r>
      <w:proofErr w:type="spellEnd"/>
      <w:r w:rsidRPr="00CD1A99">
        <w:rPr>
          <w:rFonts w:eastAsia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D1A99">
        <w:rPr>
          <w:rFonts w:eastAsia="Times New Roman" w:cs="Times New Roman"/>
          <w:sz w:val="24"/>
          <w:szCs w:val="24"/>
          <w:lang w:eastAsia="pt-PT"/>
        </w:rPr>
        <w:t>frágeis</w:t>
      </w:r>
      <w:proofErr w:type="spellEnd"/>
      <w:r w:rsidRPr="00CD1A99">
        <w:rPr>
          <w:rFonts w:eastAsia="Times New Roman" w:cs="Times New Roman"/>
          <w:sz w:val="24"/>
          <w:szCs w:val="24"/>
          <w:lang w:eastAsia="pt-PT"/>
        </w:rPr>
        <w:t>.</w:t>
      </w:r>
    </w:p>
    <w:p w14:paraId="7C8B3C02" w14:textId="77777777" w:rsidR="00FD011A" w:rsidRPr="00FD011A" w:rsidRDefault="00FD011A" w:rsidP="00FD01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FD011A">
        <w:rPr>
          <w:rFonts w:eastAsia="Times New Roman" w:cs="Times New Roman"/>
          <w:sz w:val="24"/>
          <w:szCs w:val="24"/>
          <w:lang w:val="pt-PT" w:eastAsia="pt-PT"/>
        </w:rPr>
        <w:t xml:space="preserve">Defende que desastres geram </w:t>
      </w:r>
      <w:r w:rsidRPr="00FD011A">
        <w:rPr>
          <w:rFonts w:eastAsia="Times New Roman" w:cs="Times New Roman"/>
          <w:b/>
          <w:bCs/>
          <w:sz w:val="24"/>
          <w:szCs w:val="24"/>
          <w:lang w:val="pt-PT" w:eastAsia="pt-PT"/>
        </w:rPr>
        <w:t>mudanças irreversíveis</w:t>
      </w:r>
      <w:r w:rsidRPr="00FD011A">
        <w:rPr>
          <w:rFonts w:eastAsia="Times New Roman" w:cs="Times New Roman"/>
          <w:sz w:val="24"/>
          <w:szCs w:val="24"/>
          <w:lang w:val="pt-PT" w:eastAsia="pt-PT"/>
        </w:rPr>
        <w:t xml:space="preserve"> (sociais, económicas, físicas).</w:t>
      </w:r>
    </w:p>
    <w:p w14:paraId="048A0454" w14:textId="77777777" w:rsidR="00FD011A" w:rsidRPr="00CD1A99" w:rsidRDefault="00FD011A" w:rsidP="00FD01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CD1A99">
        <w:rPr>
          <w:rFonts w:eastAsia="Times New Roman" w:cs="Times New Roman"/>
          <w:b/>
          <w:bCs/>
          <w:sz w:val="24"/>
          <w:szCs w:val="24"/>
          <w:lang w:eastAsia="pt-PT"/>
        </w:rPr>
        <w:t>Proposição</w:t>
      </w:r>
      <w:proofErr w:type="spellEnd"/>
      <w:r w:rsidRPr="00CD1A99">
        <w:rPr>
          <w:rFonts w:eastAsia="Times New Roman" w:cs="Times New Roman"/>
          <w:b/>
          <w:bCs/>
          <w:sz w:val="24"/>
          <w:szCs w:val="24"/>
          <w:lang w:eastAsia="pt-PT"/>
        </w:rPr>
        <w:t xml:space="preserve"> do “bounce forward”</w:t>
      </w:r>
    </w:p>
    <w:p w14:paraId="3DD4B7B3" w14:textId="77777777" w:rsidR="00FD011A" w:rsidRPr="00FD011A" w:rsidRDefault="00FD011A" w:rsidP="00FD01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FD011A">
        <w:rPr>
          <w:rFonts w:eastAsia="Times New Roman" w:cs="Times New Roman"/>
          <w:sz w:val="24"/>
          <w:szCs w:val="24"/>
          <w:lang w:val="pt-PT" w:eastAsia="pt-PT"/>
        </w:rPr>
        <w:t>Resiliência definida como capacidade de:</w:t>
      </w:r>
    </w:p>
    <w:p w14:paraId="249815D0" w14:textId="77777777" w:rsidR="00FD011A" w:rsidRPr="00CD1A99" w:rsidRDefault="00FD011A" w:rsidP="00FD011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CD1A99">
        <w:rPr>
          <w:rFonts w:eastAsia="Times New Roman" w:cs="Times New Roman"/>
          <w:b/>
          <w:bCs/>
          <w:sz w:val="24"/>
          <w:szCs w:val="24"/>
          <w:lang w:eastAsia="pt-PT"/>
        </w:rPr>
        <w:t>adaptar</w:t>
      </w:r>
      <w:proofErr w:type="spellEnd"/>
      <w:r w:rsidRPr="00CD1A99">
        <w:rPr>
          <w:rFonts w:eastAsia="Times New Roman" w:cs="Times New Roman"/>
          <w:b/>
          <w:bCs/>
          <w:sz w:val="24"/>
          <w:szCs w:val="24"/>
          <w:lang w:eastAsia="pt-PT"/>
        </w:rPr>
        <w:t>-se</w:t>
      </w:r>
      <w:r w:rsidRPr="00CD1A99">
        <w:rPr>
          <w:rFonts w:eastAsia="Times New Roman" w:cs="Times New Roman"/>
          <w:sz w:val="24"/>
          <w:szCs w:val="24"/>
          <w:lang w:eastAsia="pt-PT"/>
        </w:rPr>
        <w:t>,</w:t>
      </w:r>
    </w:p>
    <w:p w14:paraId="7989807C" w14:textId="77777777" w:rsidR="00FD011A" w:rsidRPr="00CD1A99" w:rsidRDefault="00FD011A" w:rsidP="00FD011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CD1A99">
        <w:rPr>
          <w:rFonts w:eastAsia="Times New Roman" w:cs="Times New Roman"/>
          <w:b/>
          <w:bCs/>
          <w:sz w:val="24"/>
          <w:szCs w:val="24"/>
          <w:lang w:eastAsia="pt-PT"/>
        </w:rPr>
        <w:t>transformar</w:t>
      </w:r>
      <w:proofErr w:type="spellEnd"/>
      <w:r w:rsidRPr="00CD1A99">
        <w:rPr>
          <w:rFonts w:eastAsia="Times New Roman" w:cs="Times New Roman"/>
          <w:b/>
          <w:bCs/>
          <w:sz w:val="24"/>
          <w:szCs w:val="24"/>
          <w:lang w:eastAsia="pt-PT"/>
        </w:rPr>
        <w:t>-se</w:t>
      </w:r>
      <w:r w:rsidRPr="00CD1A99">
        <w:rPr>
          <w:rFonts w:eastAsia="Times New Roman" w:cs="Times New Roman"/>
          <w:sz w:val="24"/>
          <w:szCs w:val="24"/>
          <w:lang w:eastAsia="pt-PT"/>
        </w:rPr>
        <w:t>,</w:t>
      </w:r>
    </w:p>
    <w:p w14:paraId="2B131088" w14:textId="77777777" w:rsidR="00FD011A" w:rsidRPr="00FD011A" w:rsidRDefault="00FD011A" w:rsidP="00FD011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FD011A">
        <w:rPr>
          <w:rFonts w:eastAsia="Times New Roman" w:cs="Times New Roman"/>
          <w:b/>
          <w:bCs/>
          <w:sz w:val="24"/>
          <w:szCs w:val="24"/>
          <w:lang w:val="pt-PT" w:eastAsia="pt-PT"/>
        </w:rPr>
        <w:t>reconfigurar sistemas</w:t>
      </w:r>
      <w:r w:rsidRPr="00FD011A">
        <w:rPr>
          <w:rFonts w:eastAsia="Times New Roman" w:cs="Times New Roman"/>
          <w:sz w:val="24"/>
          <w:szCs w:val="24"/>
          <w:lang w:val="pt-PT" w:eastAsia="pt-PT"/>
        </w:rPr>
        <w:t xml:space="preserve"> após o choque.</w:t>
      </w:r>
    </w:p>
    <w:p w14:paraId="156DF213" w14:textId="77777777" w:rsidR="00FD011A" w:rsidRPr="00CD1A99" w:rsidRDefault="00FD011A" w:rsidP="00FD01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CD1A99">
        <w:rPr>
          <w:rFonts w:eastAsia="Times New Roman" w:cs="Times New Roman"/>
          <w:sz w:val="24"/>
          <w:szCs w:val="24"/>
          <w:lang w:eastAsia="pt-PT"/>
        </w:rPr>
        <w:t>Ênfase</w:t>
      </w:r>
      <w:proofErr w:type="spellEnd"/>
      <w:r w:rsidRPr="00CD1A99">
        <w:rPr>
          <w:rFonts w:eastAsia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D1A99">
        <w:rPr>
          <w:rFonts w:eastAsia="Times New Roman" w:cs="Times New Roman"/>
          <w:sz w:val="24"/>
          <w:szCs w:val="24"/>
          <w:lang w:eastAsia="pt-PT"/>
        </w:rPr>
        <w:t>em</w:t>
      </w:r>
      <w:proofErr w:type="spellEnd"/>
      <w:r w:rsidRPr="00CD1A99">
        <w:rPr>
          <w:rFonts w:eastAsia="Times New Roman" w:cs="Times New Roman"/>
          <w:sz w:val="24"/>
          <w:szCs w:val="24"/>
          <w:lang w:eastAsia="pt-PT"/>
        </w:rPr>
        <w:t>:</w:t>
      </w:r>
    </w:p>
    <w:p w14:paraId="35EC6D03" w14:textId="77777777" w:rsidR="00FD011A" w:rsidRPr="00CD1A99" w:rsidRDefault="00FD011A" w:rsidP="00FD011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CD1A99">
        <w:rPr>
          <w:rFonts w:eastAsia="Times New Roman" w:cs="Times New Roman"/>
          <w:b/>
          <w:bCs/>
          <w:sz w:val="24"/>
          <w:szCs w:val="24"/>
          <w:lang w:eastAsia="pt-PT"/>
        </w:rPr>
        <w:t>aprendizagem</w:t>
      </w:r>
      <w:proofErr w:type="spellEnd"/>
      <w:r w:rsidRPr="00CD1A99">
        <w:rPr>
          <w:rFonts w:eastAsia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D1A99">
        <w:rPr>
          <w:rFonts w:eastAsia="Times New Roman" w:cs="Times New Roman"/>
          <w:b/>
          <w:bCs/>
          <w:sz w:val="24"/>
          <w:szCs w:val="24"/>
          <w:lang w:eastAsia="pt-PT"/>
        </w:rPr>
        <w:t>organizacional</w:t>
      </w:r>
      <w:proofErr w:type="spellEnd"/>
      <w:r w:rsidRPr="00CD1A99">
        <w:rPr>
          <w:rFonts w:eastAsia="Times New Roman" w:cs="Times New Roman"/>
          <w:sz w:val="24"/>
          <w:szCs w:val="24"/>
          <w:lang w:eastAsia="pt-PT"/>
        </w:rPr>
        <w:t xml:space="preserve"> (single-loop vs. double-loop</w:t>
      </w:r>
      <w:proofErr w:type="gramStart"/>
      <w:r w:rsidRPr="00CD1A99">
        <w:rPr>
          <w:rFonts w:eastAsia="Times New Roman" w:cs="Times New Roman"/>
          <w:sz w:val="24"/>
          <w:szCs w:val="24"/>
          <w:lang w:eastAsia="pt-PT"/>
        </w:rPr>
        <w:t>);</w:t>
      </w:r>
      <w:proofErr w:type="gramEnd"/>
    </w:p>
    <w:p w14:paraId="4A1EE913" w14:textId="77777777" w:rsidR="00FD011A" w:rsidRPr="00CD1A99" w:rsidRDefault="00FD011A" w:rsidP="00FD011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CD1A99">
        <w:rPr>
          <w:rFonts w:eastAsia="Times New Roman" w:cs="Times New Roman"/>
          <w:b/>
          <w:bCs/>
          <w:sz w:val="24"/>
          <w:szCs w:val="24"/>
          <w:lang w:eastAsia="pt-PT"/>
        </w:rPr>
        <w:t>agência</w:t>
      </w:r>
      <w:proofErr w:type="spellEnd"/>
      <w:r w:rsidRPr="00CD1A99">
        <w:rPr>
          <w:rFonts w:eastAsia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proofErr w:type="gramStart"/>
      <w:r w:rsidRPr="00CD1A99">
        <w:rPr>
          <w:rFonts w:eastAsia="Times New Roman" w:cs="Times New Roman"/>
          <w:b/>
          <w:bCs/>
          <w:sz w:val="24"/>
          <w:szCs w:val="24"/>
          <w:lang w:eastAsia="pt-PT"/>
        </w:rPr>
        <w:t>comunitária</w:t>
      </w:r>
      <w:proofErr w:type="spellEnd"/>
      <w:r w:rsidRPr="00CD1A99">
        <w:rPr>
          <w:rFonts w:eastAsia="Times New Roman" w:cs="Times New Roman"/>
          <w:sz w:val="24"/>
          <w:szCs w:val="24"/>
          <w:lang w:eastAsia="pt-PT"/>
        </w:rPr>
        <w:t>;</w:t>
      </w:r>
      <w:proofErr w:type="gramEnd"/>
    </w:p>
    <w:p w14:paraId="1EE067B4" w14:textId="77777777" w:rsidR="00FD011A" w:rsidRPr="00CD1A99" w:rsidRDefault="00FD011A" w:rsidP="00FD011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CD1A99">
        <w:rPr>
          <w:rFonts w:eastAsia="Times New Roman" w:cs="Times New Roman"/>
          <w:b/>
          <w:bCs/>
          <w:sz w:val="24"/>
          <w:szCs w:val="24"/>
          <w:lang w:eastAsia="pt-PT"/>
        </w:rPr>
        <w:t>governança</w:t>
      </w:r>
      <w:proofErr w:type="spellEnd"/>
      <w:r w:rsidRPr="00CD1A99">
        <w:rPr>
          <w:rFonts w:eastAsia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D1A99">
        <w:rPr>
          <w:rFonts w:eastAsia="Times New Roman" w:cs="Times New Roman"/>
          <w:b/>
          <w:bCs/>
          <w:sz w:val="24"/>
          <w:szCs w:val="24"/>
          <w:lang w:eastAsia="pt-PT"/>
        </w:rPr>
        <w:t>adaptativa</w:t>
      </w:r>
      <w:proofErr w:type="spellEnd"/>
      <w:r w:rsidRPr="00CD1A99">
        <w:rPr>
          <w:rFonts w:eastAsia="Times New Roman" w:cs="Times New Roman"/>
          <w:sz w:val="24"/>
          <w:szCs w:val="24"/>
          <w:lang w:eastAsia="pt-PT"/>
        </w:rPr>
        <w:t>.</w:t>
      </w:r>
    </w:p>
    <w:p w14:paraId="21F72A27" w14:textId="77777777" w:rsidR="00FD011A" w:rsidRPr="00CD1A99" w:rsidRDefault="00FD011A" w:rsidP="00FD01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CD1A99">
        <w:rPr>
          <w:rFonts w:eastAsia="Times New Roman" w:cs="Times New Roman"/>
          <w:b/>
          <w:bCs/>
          <w:sz w:val="24"/>
          <w:szCs w:val="24"/>
          <w:lang w:eastAsia="pt-PT"/>
        </w:rPr>
        <w:t>Estudos</w:t>
      </w:r>
      <w:proofErr w:type="spellEnd"/>
      <w:r w:rsidRPr="00CD1A99">
        <w:rPr>
          <w:rFonts w:eastAsia="Times New Roman" w:cs="Times New Roman"/>
          <w:b/>
          <w:bCs/>
          <w:sz w:val="24"/>
          <w:szCs w:val="24"/>
          <w:lang w:eastAsia="pt-PT"/>
        </w:rPr>
        <w:t xml:space="preserve"> de </w:t>
      </w:r>
      <w:proofErr w:type="spellStart"/>
      <w:r w:rsidRPr="00CD1A99">
        <w:rPr>
          <w:rFonts w:eastAsia="Times New Roman" w:cs="Times New Roman"/>
          <w:b/>
          <w:bCs/>
          <w:sz w:val="24"/>
          <w:szCs w:val="24"/>
          <w:lang w:eastAsia="pt-PT"/>
        </w:rPr>
        <w:t>caso</w:t>
      </w:r>
      <w:proofErr w:type="spellEnd"/>
      <w:r w:rsidRPr="00CD1A99">
        <w:rPr>
          <w:rFonts w:eastAsia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D1A99">
        <w:rPr>
          <w:rFonts w:eastAsia="Times New Roman" w:cs="Times New Roman"/>
          <w:b/>
          <w:bCs/>
          <w:sz w:val="24"/>
          <w:szCs w:val="24"/>
          <w:lang w:eastAsia="pt-PT"/>
        </w:rPr>
        <w:t>ilustrativos</w:t>
      </w:r>
      <w:proofErr w:type="spellEnd"/>
    </w:p>
    <w:p w14:paraId="2218D1C4" w14:textId="77777777" w:rsidR="00FD011A" w:rsidRPr="00CD1A99" w:rsidRDefault="00FD011A" w:rsidP="00FD01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CD1A99">
        <w:rPr>
          <w:rFonts w:eastAsia="Times New Roman" w:cs="Times New Roman"/>
          <w:sz w:val="24"/>
          <w:szCs w:val="24"/>
          <w:lang w:eastAsia="pt-PT"/>
        </w:rPr>
        <w:lastRenderedPageBreak/>
        <w:t xml:space="preserve">Fire and Rescue Service (Reino </w:t>
      </w:r>
      <w:proofErr w:type="spellStart"/>
      <w:r w:rsidRPr="00CD1A99">
        <w:rPr>
          <w:rFonts w:eastAsia="Times New Roman" w:cs="Times New Roman"/>
          <w:sz w:val="24"/>
          <w:szCs w:val="24"/>
          <w:lang w:eastAsia="pt-PT"/>
        </w:rPr>
        <w:t>Unido</w:t>
      </w:r>
      <w:proofErr w:type="spellEnd"/>
      <w:proofErr w:type="gramStart"/>
      <w:r w:rsidRPr="00CD1A99">
        <w:rPr>
          <w:rFonts w:eastAsia="Times New Roman" w:cs="Times New Roman"/>
          <w:sz w:val="24"/>
          <w:szCs w:val="24"/>
          <w:lang w:eastAsia="pt-PT"/>
        </w:rPr>
        <w:t>);</w:t>
      </w:r>
      <w:proofErr w:type="gramEnd"/>
    </w:p>
    <w:p w14:paraId="2D341D80" w14:textId="77777777" w:rsidR="00FD011A" w:rsidRPr="00FD011A" w:rsidRDefault="00FD011A" w:rsidP="00FD01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FD011A">
        <w:rPr>
          <w:rFonts w:eastAsia="Times New Roman" w:cs="Times New Roman"/>
          <w:sz w:val="24"/>
          <w:szCs w:val="24"/>
          <w:lang w:val="pt-PT" w:eastAsia="pt-PT"/>
        </w:rPr>
        <w:t>Comunidades costeiras da Somália pós-tsunami (2004).</w:t>
      </w:r>
    </w:p>
    <w:p w14:paraId="435C9469" w14:textId="77777777" w:rsidR="00FD011A" w:rsidRPr="00FD011A" w:rsidRDefault="00FD011A" w:rsidP="00FD01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FD011A">
        <w:rPr>
          <w:rFonts w:eastAsia="Times New Roman" w:cs="Times New Roman"/>
          <w:sz w:val="24"/>
          <w:szCs w:val="24"/>
          <w:lang w:val="pt-PT" w:eastAsia="pt-PT"/>
        </w:rPr>
        <w:t xml:space="preserve">Casos </w:t>
      </w:r>
      <w:r w:rsidRPr="00FD011A">
        <w:rPr>
          <w:rFonts w:eastAsia="Times New Roman" w:cs="Times New Roman"/>
          <w:b/>
          <w:bCs/>
          <w:sz w:val="24"/>
          <w:szCs w:val="24"/>
          <w:lang w:val="pt-PT" w:eastAsia="pt-PT"/>
        </w:rPr>
        <w:t>qualitativos</w:t>
      </w:r>
      <w:r w:rsidRPr="00FD011A">
        <w:rPr>
          <w:rFonts w:eastAsia="Times New Roman" w:cs="Times New Roman"/>
          <w:sz w:val="24"/>
          <w:szCs w:val="24"/>
          <w:lang w:val="pt-PT" w:eastAsia="pt-PT"/>
        </w:rPr>
        <w:t>, sem métricas de desempenho.</w:t>
      </w:r>
    </w:p>
    <w:p w14:paraId="51B662F9" w14:textId="77777777" w:rsidR="00FD011A" w:rsidRPr="00CD1A99" w:rsidRDefault="00FD011A" w:rsidP="00FD01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CD1A99">
        <w:rPr>
          <w:rFonts w:eastAsia="Times New Roman" w:cs="Times New Roman"/>
          <w:b/>
          <w:bCs/>
          <w:sz w:val="24"/>
          <w:szCs w:val="24"/>
          <w:lang w:eastAsia="pt-PT"/>
        </w:rPr>
        <w:t>Domínio</w:t>
      </w:r>
      <w:proofErr w:type="spellEnd"/>
      <w:r w:rsidRPr="00CD1A99">
        <w:rPr>
          <w:rFonts w:eastAsia="Times New Roman" w:cs="Times New Roman"/>
          <w:b/>
          <w:bCs/>
          <w:sz w:val="24"/>
          <w:szCs w:val="24"/>
          <w:lang w:eastAsia="pt-PT"/>
        </w:rPr>
        <w:t xml:space="preserve"> do </w:t>
      </w:r>
      <w:proofErr w:type="spellStart"/>
      <w:r w:rsidRPr="00CD1A99">
        <w:rPr>
          <w:rFonts w:eastAsia="Times New Roman" w:cs="Times New Roman"/>
          <w:b/>
          <w:bCs/>
          <w:sz w:val="24"/>
          <w:szCs w:val="24"/>
          <w:lang w:eastAsia="pt-PT"/>
        </w:rPr>
        <w:t>estudo</w:t>
      </w:r>
      <w:proofErr w:type="spellEnd"/>
    </w:p>
    <w:p w14:paraId="5CFFDAB3" w14:textId="77777777" w:rsidR="00FD011A" w:rsidRPr="00CD1A99" w:rsidRDefault="00FD011A" w:rsidP="00FD01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CD1A99">
        <w:rPr>
          <w:rFonts w:eastAsia="Times New Roman" w:cs="Times New Roman"/>
          <w:sz w:val="24"/>
          <w:szCs w:val="24"/>
          <w:lang w:eastAsia="pt-PT"/>
        </w:rPr>
        <w:t>Predominantemente</w:t>
      </w:r>
      <w:proofErr w:type="spellEnd"/>
      <w:r w:rsidRPr="00CD1A99">
        <w:rPr>
          <w:rFonts w:eastAsia="Times New Roman" w:cs="Times New Roman"/>
          <w:sz w:val="24"/>
          <w:szCs w:val="24"/>
          <w:lang w:eastAsia="pt-PT"/>
        </w:rPr>
        <w:t>:</w:t>
      </w:r>
    </w:p>
    <w:p w14:paraId="5E75E29C" w14:textId="77777777" w:rsidR="00FD011A" w:rsidRPr="00CD1A99" w:rsidRDefault="00FD011A" w:rsidP="00FD011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gramStart"/>
      <w:r w:rsidRPr="00CD1A99">
        <w:rPr>
          <w:rFonts w:eastAsia="Times New Roman" w:cs="Times New Roman"/>
          <w:sz w:val="24"/>
          <w:szCs w:val="24"/>
          <w:lang w:eastAsia="pt-PT"/>
        </w:rPr>
        <w:t>comunidades</w:t>
      </w:r>
      <w:proofErr w:type="gramEnd"/>
      <w:r w:rsidRPr="00CD1A99">
        <w:rPr>
          <w:rFonts w:eastAsia="Times New Roman" w:cs="Times New Roman"/>
          <w:sz w:val="24"/>
          <w:szCs w:val="24"/>
          <w:lang w:eastAsia="pt-PT"/>
        </w:rPr>
        <w:t>,</w:t>
      </w:r>
    </w:p>
    <w:p w14:paraId="6B8375DA" w14:textId="77777777" w:rsidR="00FD011A" w:rsidRPr="00CD1A99" w:rsidRDefault="00FD011A" w:rsidP="00FD011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CD1A99">
        <w:rPr>
          <w:rFonts w:eastAsia="Times New Roman" w:cs="Times New Roman"/>
          <w:sz w:val="24"/>
          <w:szCs w:val="24"/>
          <w:lang w:eastAsia="pt-PT"/>
        </w:rPr>
        <w:t>instituições</w:t>
      </w:r>
      <w:proofErr w:type="spellEnd"/>
      <w:r w:rsidRPr="00CD1A99">
        <w:rPr>
          <w:rFonts w:eastAsia="Times New Roman" w:cs="Times New Roman"/>
          <w:sz w:val="24"/>
          <w:szCs w:val="24"/>
          <w:lang w:eastAsia="pt-PT"/>
        </w:rPr>
        <w:t>,</w:t>
      </w:r>
    </w:p>
    <w:p w14:paraId="2D4D1DB7" w14:textId="77777777" w:rsidR="00FD011A" w:rsidRPr="00CD1A99" w:rsidRDefault="00FD011A" w:rsidP="00FD011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proofErr w:type="spellStart"/>
      <w:r w:rsidRPr="00CD1A99">
        <w:rPr>
          <w:rFonts w:eastAsia="Times New Roman" w:cs="Times New Roman"/>
          <w:sz w:val="24"/>
          <w:szCs w:val="24"/>
          <w:lang w:eastAsia="pt-PT"/>
        </w:rPr>
        <w:t>políticas</w:t>
      </w:r>
      <w:proofErr w:type="spellEnd"/>
      <w:r w:rsidRPr="00CD1A99">
        <w:rPr>
          <w:rFonts w:eastAsia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D1A99">
        <w:rPr>
          <w:rFonts w:eastAsia="Times New Roman" w:cs="Times New Roman"/>
          <w:sz w:val="24"/>
          <w:szCs w:val="24"/>
          <w:lang w:eastAsia="pt-PT"/>
        </w:rPr>
        <w:t>públicas</w:t>
      </w:r>
      <w:proofErr w:type="spellEnd"/>
      <w:r w:rsidRPr="00CD1A99">
        <w:rPr>
          <w:rFonts w:eastAsia="Times New Roman" w:cs="Times New Roman"/>
          <w:sz w:val="24"/>
          <w:szCs w:val="24"/>
          <w:lang w:eastAsia="pt-PT"/>
        </w:rPr>
        <w:t>.</w:t>
      </w:r>
    </w:p>
    <w:p w14:paraId="0279B027" w14:textId="77777777" w:rsidR="00FD011A" w:rsidRPr="00FD011A" w:rsidRDefault="00FD011A" w:rsidP="00FD01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FD011A">
        <w:rPr>
          <w:rFonts w:eastAsia="Times New Roman" w:cs="Times New Roman"/>
          <w:sz w:val="24"/>
          <w:szCs w:val="24"/>
          <w:lang w:val="pt-PT" w:eastAsia="pt-PT"/>
        </w:rPr>
        <w:t xml:space="preserve">Infraestruturas técnicas (energia, transmissão) </w:t>
      </w:r>
      <w:r w:rsidRPr="00FD011A">
        <w:rPr>
          <w:rFonts w:eastAsia="Times New Roman" w:cs="Times New Roman"/>
          <w:b/>
          <w:bCs/>
          <w:sz w:val="24"/>
          <w:szCs w:val="24"/>
          <w:lang w:val="pt-PT" w:eastAsia="pt-PT"/>
        </w:rPr>
        <w:t>não são analisadas</w:t>
      </w:r>
      <w:r w:rsidRPr="00FD011A">
        <w:rPr>
          <w:rFonts w:eastAsia="Times New Roman" w:cs="Times New Roman"/>
          <w:sz w:val="24"/>
          <w:szCs w:val="24"/>
          <w:lang w:val="pt-PT" w:eastAsia="pt-PT"/>
        </w:rPr>
        <w:t>.</w:t>
      </w:r>
    </w:p>
    <w:p w14:paraId="11678443" w14:textId="77777777" w:rsidR="00FD011A" w:rsidRPr="00FD011A" w:rsidRDefault="00FD011A" w:rsidP="00FD011A">
      <w:pPr>
        <w:rPr>
          <w:lang w:val="pt-PT"/>
        </w:rPr>
      </w:pPr>
    </w:p>
    <w:p w14:paraId="4776ED8B" w14:textId="77777777" w:rsidR="00FD011A" w:rsidRPr="00FD011A" w:rsidRDefault="00FD011A" w:rsidP="00294C3F">
      <w:pPr>
        <w:rPr>
          <w:lang w:val="pt-PT"/>
        </w:rPr>
      </w:pPr>
    </w:p>
    <w:sectPr w:rsidR="00FD011A" w:rsidRPr="00FD011A" w:rsidSect="00435A17">
      <w:pgSz w:w="11907" w:h="16840" w:code="9"/>
      <w:pgMar w:top="1440" w:right="1440" w:bottom="1077" w:left="1797" w:header="720" w:footer="119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3460D"/>
    <w:multiLevelType w:val="multilevel"/>
    <w:tmpl w:val="5BD69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0946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C3F"/>
    <w:rsid w:val="000131F2"/>
    <w:rsid w:val="0007293B"/>
    <w:rsid w:val="0008424C"/>
    <w:rsid w:val="00096FFB"/>
    <w:rsid w:val="000C625D"/>
    <w:rsid w:val="000D45BD"/>
    <w:rsid w:val="001325CB"/>
    <w:rsid w:val="00172112"/>
    <w:rsid w:val="00196796"/>
    <w:rsid w:val="00294C3F"/>
    <w:rsid w:val="00347332"/>
    <w:rsid w:val="0039444F"/>
    <w:rsid w:val="003F704C"/>
    <w:rsid w:val="00423B9B"/>
    <w:rsid w:val="00435A17"/>
    <w:rsid w:val="004B5BB7"/>
    <w:rsid w:val="00502614"/>
    <w:rsid w:val="005272F0"/>
    <w:rsid w:val="00595B01"/>
    <w:rsid w:val="0061413D"/>
    <w:rsid w:val="007B1727"/>
    <w:rsid w:val="008226B2"/>
    <w:rsid w:val="008C0D5E"/>
    <w:rsid w:val="00A04542"/>
    <w:rsid w:val="00A74270"/>
    <w:rsid w:val="00AA4524"/>
    <w:rsid w:val="00AC5231"/>
    <w:rsid w:val="00B7708D"/>
    <w:rsid w:val="00B811CD"/>
    <w:rsid w:val="00BF51C6"/>
    <w:rsid w:val="00C03A12"/>
    <w:rsid w:val="00D25A09"/>
    <w:rsid w:val="00D63D8E"/>
    <w:rsid w:val="00E07D60"/>
    <w:rsid w:val="00F77278"/>
    <w:rsid w:val="00FD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BB532"/>
  <w15:chartTrackingRefBased/>
  <w15:docId w15:val="{9B93C1AF-6E10-4004-BF5D-A46326D6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A17"/>
    <w:pPr>
      <w:spacing w:after="0" w:line="336" w:lineRule="auto"/>
    </w:pPr>
    <w:rPr>
      <w:rFonts w:ascii="Times New Roman" w:eastAsiaTheme="minorEastAsia" w:hAnsi="Times New Roman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  <w:lang w:val="pt-B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  <w:lang w:val="pt-B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  <w:lang w:val="pt-B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lang w:val="pt-B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C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C3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C3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C3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C3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32"/>
      <w:szCs w:val="52"/>
      <w:lang w:val="pt-B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  <w:lang w:val="pt-B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rFonts w:eastAsiaTheme="minorHAnsi"/>
      <w:i/>
      <w:iCs/>
      <w:lang w:val="pt-B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C3F"/>
    <w:rPr>
      <w:rFonts w:eastAsiaTheme="majorEastAsia" w:cstheme="majorBidi"/>
      <w:color w:val="0F4761" w:themeColor="accent1" w:themeShade="BF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C3F"/>
    <w:rPr>
      <w:rFonts w:eastAsiaTheme="majorEastAsia" w:cstheme="majorBidi"/>
      <w:i/>
      <w:iCs/>
      <w:color w:val="595959" w:themeColor="text1" w:themeTint="A6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C3F"/>
    <w:rPr>
      <w:rFonts w:eastAsiaTheme="majorEastAsia" w:cstheme="majorBidi"/>
      <w:color w:val="595959" w:themeColor="text1" w:themeTint="A6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C3F"/>
    <w:rPr>
      <w:rFonts w:eastAsiaTheme="majorEastAsia" w:cstheme="majorBidi"/>
      <w:i/>
      <w:iCs/>
      <w:color w:val="272727" w:themeColor="text1" w:themeTint="D8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C3F"/>
    <w:rPr>
      <w:rFonts w:eastAsiaTheme="majorEastAsia" w:cstheme="majorBidi"/>
      <w:color w:val="272727" w:themeColor="text1" w:themeTint="D8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294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C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C3F"/>
    <w:rPr>
      <w:rFonts w:ascii="Times New Roman" w:eastAsiaTheme="minorEastAsia" w:hAnsi="Times New Roman"/>
      <w:i/>
      <w:iCs/>
      <w:color w:val="0F4761" w:themeColor="accent1" w:themeShade="BF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94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748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2025-05-03T22:28:00Z</dcterms:created>
  <dcterms:modified xsi:type="dcterms:W3CDTF">2026-01-17T11:50:00Z</dcterms:modified>
</cp:coreProperties>
</file>