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5F11" w14:textId="77777777" w:rsidR="00E22032" w:rsidRPr="00E22032" w:rsidRDefault="00E22032" w:rsidP="00E22032">
      <w:r w:rsidRPr="00E22032">
        <w:t>Título: Multi-dimensional Hurricane Resilience Assessment of Electric Power Systems</w:t>
      </w:r>
    </w:p>
    <w:p w14:paraId="3E34DD67" w14:textId="77777777" w:rsidR="00E22032" w:rsidRDefault="00E22032" w:rsidP="00E22032">
      <w:r>
        <w:t>Autores e Afiliações</w:t>
      </w:r>
    </w:p>
    <w:p w14:paraId="7A3491CD" w14:textId="77777777" w:rsidR="00E22032" w:rsidRDefault="00E22032" w:rsidP="00E22032"/>
    <w:p w14:paraId="0D1E842D" w14:textId="77777777" w:rsidR="00E22032" w:rsidRDefault="00E22032" w:rsidP="00E22032">
      <w:r>
        <w:t>Min Ouyang (School of Automation, Huazhong University of Science and Technology, China)</w:t>
      </w:r>
    </w:p>
    <w:p w14:paraId="66C157F6" w14:textId="77777777" w:rsidR="00E22032" w:rsidRDefault="00E22032" w:rsidP="00E22032">
      <w:r>
        <w:t>Leonardo Dueñas-Osorio (Department of Civil and Environmental Engineering, Rice University, USA)</w:t>
      </w:r>
    </w:p>
    <w:p w14:paraId="69076B74" w14:textId="77777777" w:rsidR="00E22032" w:rsidRDefault="00E22032" w:rsidP="00E22032"/>
    <w:p w14:paraId="22585940" w14:textId="58004EFF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Resumo do Abstract</w:t>
      </w:r>
    </w:p>
    <w:p w14:paraId="3264C0C5" w14:textId="77777777" w:rsidR="00E22032" w:rsidRDefault="00E22032" w:rsidP="00E22032">
      <w:pPr>
        <w:rPr>
          <w:lang w:val="pt-BR"/>
        </w:rPr>
      </w:pPr>
      <w:r w:rsidRPr="00E22032">
        <w:rPr>
          <w:lang w:val="pt-BR"/>
        </w:rPr>
        <w:t>Este artigo propõe um modelo probabilístico de avaliação da resiliência de sistemas de energia elétrica sob a ocorrência de furacões. A abordagem combina quatro modelos interligados: modelo de ameaça de furacão, curvas de fragilidade de componentes, modelo de desempenho do sistema elétrico e modelo de restauração. Utilizando dados do condado de Harris (Texas) após o furacão Ike (2008), o modelo foi calibrado e permitiu avaliar diferentes dimensões da resiliência (técnica, organizacional e social), além de quantificar perdas econômicas. Os resultados mostraram que a resiliência organizacional foi a mais elevada (99,964%) e a social a mais baixa (99,760%), indicando que pequenas falhas podem resultar em perdas econômicas de até US$ 83 milhões por ano.</w:t>
      </w:r>
    </w:p>
    <w:p w14:paraId="1903D846" w14:textId="77777777" w:rsidR="00E22032" w:rsidRPr="00E22032" w:rsidRDefault="00E22032" w:rsidP="00E22032">
      <w:pPr>
        <w:rPr>
          <w:lang w:val="pt-BR"/>
        </w:rPr>
      </w:pPr>
    </w:p>
    <w:p w14:paraId="5E441B35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1. Introdução</w:t>
      </w:r>
    </w:p>
    <w:p w14:paraId="75D4B1B1" w14:textId="77777777" w:rsidR="00E22032" w:rsidRDefault="00E22032" w:rsidP="00E22032">
      <w:pPr>
        <w:rPr>
          <w:lang w:val="pt-BR"/>
        </w:rPr>
      </w:pPr>
      <w:r w:rsidRPr="00E22032">
        <w:rPr>
          <w:lang w:val="pt-BR"/>
        </w:rPr>
        <w:t>Os sistemas de energia elétrica são infraestruturas críticas com vulnerabilidades crescentes diante de riscos naturais, como furacões. A resiliência é definida como a capacidade de resistir, absorver e restaurar o desempenho após desastres. A estrutura do MCEER utilizada inclui robustez, redundância, rapidez e capacidade de recursos.</w:t>
      </w:r>
    </w:p>
    <w:p w14:paraId="083B26CF" w14:textId="77777777" w:rsidR="00E22032" w:rsidRPr="00E22032" w:rsidRDefault="00E22032" w:rsidP="00E22032">
      <w:pPr>
        <w:rPr>
          <w:lang w:val="pt-BR"/>
        </w:rPr>
      </w:pPr>
    </w:p>
    <w:p w14:paraId="7BB1D3A6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2. Metodologia</w:t>
      </w:r>
    </w:p>
    <w:p w14:paraId="70118D59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O modelo probabilístico é composto por quatro submodelos interconectados:</w:t>
      </w:r>
    </w:p>
    <w:p w14:paraId="6C688DE2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Modelo de ameaça (processo de Poisson para furacões)</w:t>
      </w:r>
    </w:p>
    <w:p w14:paraId="02180F5E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Curvas de fragilidade de componentes (subestações, linhas, postes, etc.)</w:t>
      </w:r>
    </w:p>
    <w:p w14:paraId="70122ACA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Modelo de resposta do sistema elétrico (baseado em fluxo DC)</w:t>
      </w:r>
    </w:p>
    <w:p w14:paraId="04007695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Modelo de restauração (com prioridades e alocação dinâmica de recursos)</w:t>
      </w:r>
    </w:p>
    <w:p w14:paraId="20D1EB9A" w14:textId="77777777" w:rsidR="00E22032" w:rsidRPr="00E22032" w:rsidRDefault="00E22032" w:rsidP="00E22032">
      <w:pPr>
        <w:rPr>
          <w:lang w:val="pt-BR"/>
        </w:rPr>
      </w:pPr>
    </w:p>
    <w:p w14:paraId="304832A3" w14:textId="77777777" w:rsidR="00E22032" w:rsidRDefault="00E22032" w:rsidP="00E22032">
      <w:pPr>
        <w:rPr>
          <w:lang w:val="pt-BR"/>
        </w:rPr>
      </w:pPr>
      <w:r w:rsidRPr="00E22032">
        <w:rPr>
          <w:lang w:val="pt-BR"/>
        </w:rPr>
        <w:t>A simulação baseia-se em dados reais de interrupções e restauração da CenterPoint Energy no Texas (Hurricane Ike, 2008).</w:t>
      </w:r>
    </w:p>
    <w:p w14:paraId="783A0C8B" w14:textId="77777777" w:rsidR="00E22032" w:rsidRPr="00E22032" w:rsidRDefault="00E22032" w:rsidP="00E22032">
      <w:pPr>
        <w:rPr>
          <w:lang w:val="pt-BR"/>
        </w:rPr>
      </w:pPr>
    </w:p>
    <w:p w14:paraId="5CCB59D3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3. Resultados</w:t>
      </w:r>
    </w:p>
    <w:p w14:paraId="0041DFDA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Resiliência técnica (transmissão): 99.962%</w:t>
      </w:r>
    </w:p>
    <w:p w14:paraId="7A356CC2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Resiliência técnica (distribuição): 99.791%</w:t>
      </w:r>
    </w:p>
    <w:p w14:paraId="6E9A4204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Resiliência organizacional: 99.964%</w:t>
      </w:r>
    </w:p>
    <w:p w14:paraId="2EE37F20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Resiliência social: 99.760%</w:t>
      </w:r>
    </w:p>
    <w:p w14:paraId="6890C936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Perda econômica média anual: US$ 82,654 milhões</w:t>
      </w:r>
    </w:p>
    <w:p w14:paraId="15840D9D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lastRenderedPageBreak/>
        <w:t>• Estratégias de melhoria: aumento de recursos, sequenciamento otimizado e uso de linhas subterrâneas</w:t>
      </w:r>
    </w:p>
    <w:p w14:paraId="060AF038" w14:textId="77777777" w:rsidR="00E22032" w:rsidRPr="00E22032" w:rsidRDefault="00E22032" w:rsidP="00E22032">
      <w:pPr>
        <w:rPr>
          <w:lang w:val="pt-BR"/>
        </w:rPr>
      </w:pPr>
    </w:p>
    <w:p w14:paraId="6CAE3FF3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4. Discussão</w:t>
      </w:r>
    </w:p>
    <w:p w14:paraId="73D8428A" w14:textId="77777777" w:rsidR="00E22032" w:rsidRDefault="00E22032" w:rsidP="00E22032">
      <w:pPr>
        <w:rPr>
          <w:lang w:val="pt-BR"/>
        </w:rPr>
      </w:pPr>
      <w:r w:rsidRPr="00E22032">
        <w:rPr>
          <w:lang w:val="pt-BR"/>
        </w:rPr>
        <w:t>A modelagem integrada permite analisar múltiplas dimensões da resiliência. O modelo validado reproduziu a curva de restauração real do evento de 2008. A variação dos parâmetros demonstra o impacto de estratégias específicas na resiliência técnica e social. O uso de escala logarítmica para comparar níveis de resiliência ajuda na comunicação técnica com gestores públicos.</w:t>
      </w:r>
    </w:p>
    <w:p w14:paraId="311C8BFB" w14:textId="77777777" w:rsidR="00E22032" w:rsidRPr="00E22032" w:rsidRDefault="00E22032" w:rsidP="00E22032">
      <w:pPr>
        <w:rPr>
          <w:lang w:val="pt-BR"/>
        </w:rPr>
      </w:pPr>
    </w:p>
    <w:p w14:paraId="4A7D8C50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5. Conclusão Crítica</w:t>
      </w:r>
    </w:p>
    <w:p w14:paraId="4D7CAD5B" w14:textId="77777777" w:rsidR="00E22032" w:rsidRDefault="00E22032" w:rsidP="00E22032">
      <w:pPr>
        <w:rPr>
          <w:lang w:val="pt-BR"/>
        </w:rPr>
      </w:pPr>
      <w:r w:rsidRPr="00E22032">
        <w:rPr>
          <w:lang w:val="pt-BR"/>
        </w:rPr>
        <w:t>O artigo propõe uma estrutura robusta e calibrada para avaliação da resiliência multidimensional de redes elétricas sob furacões. A validação com dados reais e a simulação de estratégias tornam este estudo uma referência. O modelo pode ser expandido para outros tipos de desastres e regiões. Sugere-se incluir interdependências com outros sistemas e aplicar técnicas de custo-benefício para políticas públicas.</w:t>
      </w:r>
    </w:p>
    <w:p w14:paraId="504EBEC6" w14:textId="77777777" w:rsidR="00E22032" w:rsidRPr="00E22032" w:rsidRDefault="00E22032" w:rsidP="00E22032">
      <w:pPr>
        <w:rPr>
          <w:lang w:val="pt-BR"/>
        </w:rPr>
      </w:pPr>
    </w:p>
    <w:p w14:paraId="43136329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Resumo dos Achados Principais</w:t>
      </w:r>
    </w:p>
    <w:p w14:paraId="59CFF356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Integração de modelos de risco, fragilidade, desempenho e restauração</w:t>
      </w:r>
    </w:p>
    <w:p w14:paraId="19B7031C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Validação com dados reais do furacão Ike</w:t>
      </w:r>
    </w:p>
    <w:p w14:paraId="1CFF0CFC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Resiliência organizacional se mostrou mais elevada</w:t>
      </w:r>
    </w:p>
    <w:p w14:paraId="7FA1E1C8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Propostas de melhorias quantificadas com simulações</w:t>
      </w:r>
    </w:p>
    <w:p w14:paraId="005FA561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Potencial para uso em planejamento estratégico e políticas públicas</w:t>
      </w:r>
    </w:p>
    <w:p w14:paraId="7058271E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Descrição Técnica de Figuras, Tabelas e Gráficos</w:t>
      </w:r>
    </w:p>
    <w:p w14:paraId="00E1A28A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Figura 1: Curva típica de desempenho do sistema durante um desastre.</w:t>
      </w:r>
    </w:p>
    <w:p w14:paraId="6B253490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Figura 2(a): Mapa da rede de transmissão elétrica no Condado de Harris, TX.</w:t>
      </w:r>
    </w:p>
    <w:p w14:paraId="0D5E6D81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Figura 2(b): Diagrama esquemático dos componentes analisados.</w:t>
      </w:r>
    </w:p>
    <w:p w14:paraId="7A9BB02C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Figura 3: Cenário de furacão de categoria 3 com velocidades de vento simuladas.</w:t>
      </w:r>
    </w:p>
    <w:p w14:paraId="41C27EAC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Figura 4: Curva de mobilização de recursos de restauração após o Ike.</w:t>
      </w:r>
    </w:p>
    <w:p w14:paraId="5D825B88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 xml:space="preserve">• Figura 5: Curva comparativa entre restauração real e simulada (parâmetro </w:t>
      </w:r>
      <w:r>
        <w:t>γ</w:t>
      </w:r>
      <w:r w:rsidRPr="00E22032">
        <w:rPr>
          <w:lang w:val="pt-BR"/>
        </w:rPr>
        <w:t>).</w:t>
      </w:r>
    </w:p>
    <w:p w14:paraId="6CFE6272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Figura 6: Curvas de restauração por tipo de desempenho (clientes, subestações, etc.).</w:t>
      </w:r>
    </w:p>
    <w:p w14:paraId="76139AC9" w14:textId="77777777" w:rsidR="00E22032" w:rsidRPr="00E22032" w:rsidRDefault="00E22032" w:rsidP="00E22032">
      <w:pPr>
        <w:rPr>
          <w:lang w:val="pt-BR"/>
        </w:rPr>
      </w:pPr>
      <w:r w:rsidRPr="00E22032">
        <w:rPr>
          <w:lang w:val="pt-BR"/>
        </w:rPr>
        <w:t>• Figura 7: Distribuições probabilísticas de resiliência nas diferentes dimensões.</w:t>
      </w:r>
    </w:p>
    <w:p w14:paraId="6925F618" w14:textId="77777777" w:rsidR="00E22032" w:rsidRDefault="00E22032" w:rsidP="00E22032">
      <w:pPr>
        <w:rPr>
          <w:lang w:val="pt-BR"/>
        </w:rPr>
      </w:pPr>
      <w:r w:rsidRPr="00E22032">
        <w:rPr>
          <w:lang w:val="pt-BR"/>
        </w:rPr>
        <w:t>• Tabela 1: Variações da resiliência com diferentes estratégias de melhoria.</w:t>
      </w:r>
    </w:p>
    <w:p w14:paraId="25DFDB3B" w14:textId="77777777" w:rsidR="0012299A" w:rsidRDefault="0012299A" w:rsidP="00E22032">
      <w:pPr>
        <w:rPr>
          <w:lang w:val="pt-BR"/>
        </w:rPr>
      </w:pPr>
    </w:p>
    <w:p w14:paraId="419BEEC1" w14:textId="77777777" w:rsidR="0012299A" w:rsidRDefault="0012299A" w:rsidP="0012299A">
      <w:r w:rsidRPr="008F67BB">
        <w:t>Multi-dimensional hurricane resilience assessment of electric power systems</w:t>
      </w:r>
    </w:p>
    <w:p w14:paraId="1623349D" w14:textId="77777777" w:rsidR="0012299A" w:rsidRDefault="0012299A" w:rsidP="0012299A"/>
    <w:p w14:paraId="5FA61DFC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12299A">
        <w:rPr>
          <w:rFonts w:eastAsia="Times New Roman" w:cs="Times New Roman"/>
          <w:sz w:val="24"/>
          <w:szCs w:val="24"/>
          <w:lang w:val="pt-PT" w:eastAsia="pt-PT"/>
        </w:rPr>
        <w:t xml:space="preserve">Este artigo é </w:t>
      </w:r>
      <w:r w:rsidRPr="0012299A">
        <w:rPr>
          <w:rFonts w:eastAsia="Times New Roman" w:cs="Times New Roman"/>
          <w:b/>
          <w:bCs/>
          <w:sz w:val="24"/>
          <w:szCs w:val="24"/>
          <w:lang w:val="pt-PT" w:eastAsia="pt-PT"/>
        </w:rPr>
        <w:t>uma das referências mais completas e influentes</w:t>
      </w:r>
      <w:r w:rsidRPr="0012299A">
        <w:rPr>
          <w:rFonts w:eastAsia="Times New Roman" w:cs="Times New Roman"/>
          <w:sz w:val="24"/>
          <w:szCs w:val="24"/>
          <w:lang w:val="pt-PT" w:eastAsia="pt-PT"/>
        </w:rPr>
        <w:t xml:space="preserve"> da literatura sobre </w:t>
      </w:r>
      <w:r w:rsidRPr="0012299A">
        <w:rPr>
          <w:rFonts w:eastAsia="Times New Roman" w:cs="Times New Roman"/>
          <w:b/>
          <w:bCs/>
          <w:sz w:val="24"/>
          <w:szCs w:val="24"/>
          <w:lang w:val="pt-PT" w:eastAsia="pt-PT"/>
        </w:rPr>
        <w:t>avaliação quantitativa da resiliência de sistemas elétricos frente a eventos climáticos extremos</w:t>
      </w:r>
      <w:r w:rsidRPr="0012299A">
        <w:rPr>
          <w:rFonts w:eastAsia="Times New Roman" w:cs="Times New Roman"/>
          <w:sz w:val="24"/>
          <w:szCs w:val="24"/>
          <w:lang w:val="pt-PT" w:eastAsia="pt-PT"/>
        </w:rPr>
        <w:t xml:space="preserve">, em particular </w:t>
      </w:r>
      <w:r w:rsidRPr="0012299A">
        <w:rPr>
          <w:rFonts w:eastAsia="Times New Roman" w:cs="Times New Roman"/>
          <w:b/>
          <w:bCs/>
          <w:sz w:val="24"/>
          <w:szCs w:val="24"/>
          <w:lang w:val="pt-PT" w:eastAsia="pt-PT"/>
        </w:rPr>
        <w:t>furacões</w:t>
      </w:r>
      <w:r w:rsidRPr="0012299A">
        <w:rPr>
          <w:rFonts w:eastAsia="Times New Roman" w:cs="Times New Roman"/>
          <w:sz w:val="24"/>
          <w:szCs w:val="24"/>
          <w:lang w:val="pt-PT" w:eastAsia="pt-PT"/>
        </w:rPr>
        <w:t xml:space="preserve">. 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Apresenta um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modelo probabilístico integrado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, </w:t>
      </w:r>
      <w:r w:rsidRPr="00D90BB1">
        <w:rPr>
          <w:rFonts w:eastAsia="Times New Roman" w:cs="Times New Roman"/>
          <w:sz w:val="24"/>
          <w:szCs w:val="24"/>
          <w:lang w:eastAsia="pt-PT"/>
        </w:rPr>
        <w:lastRenderedPageBreak/>
        <w:t xml:space="preserve">calibrado com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dados reais de falhas e restabelecimento (Hurricane Ike – 2008)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, capaz de quantificar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resiliência técnica, organizacional, social e económica</w:t>
      </w:r>
      <w:r w:rsidRPr="00D90BB1">
        <w:rPr>
          <w:rFonts w:eastAsia="Times New Roman" w:cs="Times New Roman"/>
          <w:sz w:val="24"/>
          <w:szCs w:val="24"/>
          <w:lang w:eastAsia="pt-PT"/>
        </w:rPr>
        <w:t>.</w:t>
      </w:r>
    </w:p>
    <w:p w14:paraId="02D93A2C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Do ponto de vista do seu Projeto de Tese, trata-se de um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trabalho de referência obrigatória</w:t>
      </w:r>
      <w:r w:rsidRPr="00D90BB1">
        <w:rPr>
          <w:rFonts w:eastAsia="Times New Roman" w:cs="Times New Roman"/>
          <w:sz w:val="24"/>
          <w:szCs w:val="24"/>
          <w:lang w:eastAsia="pt-PT"/>
        </w:rPr>
        <w:t>, tanto metodologicamente quanto conceitualmente.</w:t>
      </w:r>
    </w:p>
    <w:p w14:paraId="6299537E" w14:textId="77777777" w:rsidR="0012299A" w:rsidRPr="00D90BB1" w:rsidRDefault="0012299A" w:rsidP="0012299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3FBC356E">
          <v:rect id="_x0000_i1025" style="width:0;height:1.5pt" o:hralign="center" o:hrstd="t" o:hr="t" fillcolor="#a0a0a0" stroked="f"/>
        </w:pict>
      </w:r>
    </w:p>
    <w:p w14:paraId="2F24FABE" w14:textId="77777777" w:rsidR="0012299A" w:rsidRPr="00D90BB1" w:rsidRDefault="0012299A" w:rsidP="0012299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D90BB1">
        <w:rPr>
          <w:rFonts w:eastAsia="Times New Roman" w:cs="Times New Roman"/>
          <w:b/>
          <w:bCs/>
          <w:sz w:val="36"/>
          <w:szCs w:val="36"/>
          <w:lang w:eastAsia="pt-PT"/>
        </w:rPr>
        <w:t>1. Contribuições técnicas centrais (ALTÍSSIMA relevância)</w:t>
      </w:r>
    </w:p>
    <w:p w14:paraId="38B42011" w14:textId="77777777" w:rsidR="0012299A" w:rsidRPr="00D90BB1" w:rsidRDefault="0012299A" w:rsidP="001229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D90BB1">
        <w:rPr>
          <w:rFonts w:eastAsia="Times New Roman" w:cs="Times New Roman"/>
          <w:b/>
          <w:bCs/>
          <w:sz w:val="27"/>
          <w:szCs w:val="27"/>
          <w:lang w:eastAsia="pt-PT"/>
        </w:rPr>
        <w:t>1.1 Definição engenheiral clara de resiliência</w:t>
      </w:r>
    </w:p>
    <w:p w14:paraId="713F0C3B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Os autores definem resiliência como a capacidade conjunta de:</w:t>
      </w:r>
    </w:p>
    <w:p w14:paraId="1AC52E65" w14:textId="77777777" w:rsidR="0012299A" w:rsidRPr="00D90BB1" w:rsidRDefault="0012299A" w:rsidP="00122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resistir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(prevent &amp; withstand),</w:t>
      </w:r>
    </w:p>
    <w:p w14:paraId="19918F04" w14:textId="77777777" w:rsidR="0012299A" w:rsidRPr="00D90BB1" w:rsidRDefault="0012299A" w:rsidP="00122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absorver danos</w:t>
      </w:r>
      <w:r w:rsidRPr="00D90BB1">
        <w:rPr>
          <w:rFonts w:eastAsia="Times New Roman" w:cs="Times New Roman"/>
          <w:sz w:val="24"/>
          <w:szCs w:val="24"/>
          <w:lang w:eastAsia="pt-PT"/>
        </w:rPr>
        <w:t>,</w:t>
      </w:r>
    </w:p>
    <w:p w14:paraId="00285A62" w14:textId="77777777" w:rsidR="0012299A" w:rsidRPr="00D90BB1" w:rsidRDefault="0012299A" w:rsidP="00122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recuperar rapidamente</w:t>
      </w:r>
      <w:r w:rsidRPr="00D90BB1">
        <w:rPr>
          <w:rFonts w:eastAsia="Times New Roman" w:cs="Times New Roman"/>
          <w:sz w:val="24"/>
          <w:szCs w:val="24"/>
          <w:lang w:eastAsia="pt-PT"/>
        </w:rPr>
        <w:t>,</w:t>
      </w:r>
    </w:p>
    <w:p w14:paraId="2720117C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explicitando que resiliência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vai além da confiabilidade clássica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(SAIDI/SAIFI), incorporando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hazards, danos físicos e recuperação</w:t>
      </w:r>
      <w:r w:rsidRPr="00D90BB1">
        <w:rPr>
          <w:rFonts w:eastAsia="Times New Roman" w:cs="Times New Roman"/>
          <w:sz w:val="24"/>
          <w:szCs w:val="24"/>
          <w:lang w:eastAsia="pt-PT"/>
        </w:rPr>
        <w:t>.</w:t>
      </w:r>
    </w:p>
    <w:p w14:paraId="144B7826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Essa definição é totalmente compatível com o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enquadramento da sua tese</w:t>
      </w:r>
      <w:r w:rsidRPr="00D90BB1">
        <w:rPr>
          <w:rFonts w:eastAsia="Times New Roman" w:cs="Times New Roman"/>
          <w:sz w:val="24"/>
          <w:szCs w:val="24"/>
          <w:lang w:eastAsia="pt-PT"/>
        </w:rPr>
        <w:t>.</w:t>
      </w:r>
    </w:p>
    <w:p w14:paraId="2E4D1136" w14:textId="77777777" w:rsidR="0012299A" w:rsidRPr="00D90BB1" w:rsidRDefault="0012299A" w:rsidP="0012299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325A886A">
          <v:rect id="_x0000_i1026" style="width:0;height:1.5pt" o:hralign="center" o:hrstd="t" o:hr="t" fillcolor="#a0a0a0" stroked="f"/>
        </w:pict>
      </w:r>
    </w:p>
    <w:p w14:paraId="5D9A226D" w14:textId="77777777" w:rsidR="0012299A" w:rsidRPr="00D90BB1" w:rsidRDefault="0012299A" w:rsidP="001229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D90BB1">
        <w:rPr>
          <w:rFonts w:eastAsia="Times New Roman" w:cs="Times New Roman"/>
          <w:b/>
          <w:bCs/>
          <w:sz w:val="27"/>
          <w:szCs w:val="27"/>
          <w:lang w:eastAsia="pt-PT"/>
        </w:rPr>
        <w:t>1.2 Métrica quantitativa baseada em desempenho × tempo</w:t>
      </w:r>
    </w:p>
    <w:p w14:paraId="7D279951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A resiliência é formalizada como:</w:t>
      </w:r>
    </w:p>
    <w:p w14:paraId="7331C3F1" w14:textId="77777777" w:rsidR="0012299A" w:rsidRPr="00D90BB1" w:rsidRDefault="0012299A" w:rsidP="0012299A">
      <w:pPr>
        <w:rPr>
          <w:rFonts w:eastAsia="Times New Roman" w:cs="Times New Roman"/>
          <w:sz w:val="24"/>
          <w:szCs w:val="24"/>
          <w:lang w:eastAsia="pt-PT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R(T)=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R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(t)</m:t>
              </m:r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  <w:lang w:eastAsia="pt-PT"/>
                </w:rPr>
                <m:t> 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dt</m:t>
              </m:r>
            </m:num>
            <m:den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T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(t)</m:t>
              </m:r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  <w:lang w:eastAsia="pt-PT"/>
                </w:rPr>
                <m:t> 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w:br/>
          </m:r>
        </m:oMath>
      </m:oMathPara>
    </w:p>
    <w:p w14:paraId="5736D6C8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onde:</w:t>
      </w:r>
    </w:p>
    <w:p w14:paraId="6DDA9597" w14:textId="77777777" w:rsidR="0012299A" w:rsidRPr="00D90BB1" w:rsidRDefault="0012299A" w:rsidP="00122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R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pt-PT"/>
          </w:rPr>
          <m:t>(t)</m:t>
        </m:r>
      </m:oMath>
      <w:r w:rsidRPr="00D90BB1">
        <w:rPr>
          <w:rFonts w:eastAsia="Times New Roman" w:cs="Times New Roman"/>
          <w:sz w:val="24"/>
          <w:szCs w:val="24"/>
          <w:lang w:eastAsia="pt-PT"/>
        </w:rPr>
        <w:t>é o desempenho real do sistema após eventos disruptivos;</w:t>
      </w:r>
    </w:p>
    <w:p w14:paraId="75A9A103" w14:textId="77777777" w:rsidR="0012299A" w:rsidRPr="00D90BB1" w:rsidRDefault="0012299A" w:rsidP="00122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t-PT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pt-PT"/>
          </w:rPr>
          <m:t>(t)</m:t>
        </m:r>
      </m:oMath>
      <w:r w:rsidRPr="00D90BB1">
        <w:rPr>
          <w:rFonts w:eastAsia="Times New Roman" w:cs="Times New Roman"/>
          <w:sz w:val="24"/>
          <w:szCs w:val="24"/>
          <w:lang w:eastAsia="pt-PT"/>
        </w:rPr>
        <w:t>é o desempenho alvo;</w:t>
      </w:r>
    </w:p>
    <w:p w14:paraId="0792E44F" w14:textId="77777777" w:rsidR="0012299A" w:rsidRPr="00D90BB1" w:rsidRDefault="0012299A" w:rsidP="00122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a métrica captura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queda de desempenho + duração da recuperação</w:t>
      </w:r>
      <w:r w:rsidRPr="00D90BB1">
        <w:rPr>
          <w:rFonts w:eastAsia="Times New Roman" w:cs="Times New Roman"/>
          <w:sz w:val="24"/>
          <w:szCs w:val="24"/>
          <w:lang w:eastAsia="pt-PT"/>
        </w:rPr>
        <w:t>.</w:t>
      </w:r>
    </w:p>
    <w:p w14:paraId="294D53B0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ascii="Segoe UI Emoji" w:eastAsia="Times New Roman" w:hAnsi="Segoe UI Emoji" w:cs="Segoe UI Emoji"/>
          <w:sz w:val="24"/>
          <w:szCs w:val="24"/>
          <w:lang w:eastAsia="pt-PT"/>
        </w:rPr>
        <w:t>👉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Esta formulação é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uma das bases clássicas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para índices de resiliência em engenharia.</w:t>
      </w:r>
    </w:p>
    <w:p w14:paraId="16904821" w14:textId="77777777" w:rsidR="0012299A" w:rsidRPr="00D90BB1" w:rsidRDefault="0012299A" w:rsidP="0012299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lastRenderedPageBreak/>
        <w:pict w14:anchorId="563020F9">
          <v:rect id="_x0000_i1027" style="width:0;height:1.5pt" o:hralign="center" o:hrstd="t" o:hr="t" fillcolor="#a0a0a0" stroked="f"/>
        </w:pict>
      </w:r>
    </w:p>
    <w:p w14:paraId="382BCE84" w14:textId="77777777" w:rsidR="0012299A" w:rsidRPr="00D90BB1" w:rsidRDefault="0012299A" w:rsidP="001229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D90BB1">
        <w:rPr>
          <w:rFonts w:eastAsia="Times New Roman" w:cs="Times New Roman"/>
          <w:b/>
          <w:bCs/>
          <w:sz w:val="27"/>
          <w:szCs w:val="27"/>
          <w:lang w:eastAsia="pt-PT"/>
        </w:rPr>
        <w:t>1.3 Modelagem probabilística completa (end-to-end)</w:t>
      </w:r>
    </w:p>
    <w:p w14:paraId="039E5E19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O modelo integra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quatro submodelos</w:t>
      </w:r>
      <w:r w:rsidRPr="00D90BB1">
        <w:rPr>
          <w:rFonts w:eastAsia="Times New Roman" w:cs="Times New Roman"/>
          <w:sz w:val="24"/>
          <w:szCs w:val="24"/>
          <w:lang w:eastAsia="pt-PT"/>
        </w:rPr>
        <w:t>, todos relevantes para transmissão:</w:t>
      </w:r>
    </w:p>
    <w:p w14:paraId="6D8C84C6" w14:textId="77777777" w:rsidR="0012299A" w:rsidRPr="00D90BB1" w:rsidRDefault="0012299A" w:rsidP="00122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Modelo de perigos (hazard)</w:t>
      </w:r>
    </w:p>
    <w:p w14:paraId="42CE99C3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Furacões como processo de Poisson;</w:t>
      </w:r>
    </w:p>
    <w:p w14:paraId="0AEDB52B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Intensidade espacial via HAZUS.</w:t>
      </w:r>
    </w:p>
    <w:p w14:paraId="5C4BF89A" w14:textId="77777777" w:rsidR="0012299A" w:rsidRPr="00D90BB1" w:rsidRDefault="0012299A" w:rsidP="00122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Modelos de fragilidade de componentes</w:t>
      </w:r>
    </w:p>
    <w:p w14:paraId="698D1ECF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Subestações;</w:t>
      </w:r>
    </w:p>
    <w:p w14:paraId="65E3D67F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Estruturas de linhas de transmissão;</w:t>
      </w:r>
    </w:p>
    <w:p w14:paraId="70A8A42B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Condutores;</w:t>
      </w:r>
    </w:p>
    <w:p w14:paraId="10AF0441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Uso explícito de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curvas de fragilidade dependentes do vento</w:t>
      </w:r>
      <w:r w:rsidRPr="00D90BB1">
        <w:rPr>
          <w:rFonts w:eastAsia="Times New Roman" w:cs="Times New Roman"/>
          <w:sz w:val="24"/>
          <w:szCs w:val="24"/>
          <w:lang w:eastAsia="pt-PT"/>
        </w:rPr>
        <w:t>.</w:t>
      </w:r>
    </w:p>
    <w:p w14:paraId="2542E431" w14:textId="77777777" w:rsidR="0012299A" w:rsidRPr="00D90BB1" w:rsidRDefault="0012299A" w:rsidP="00122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Modelo elétrico de desempenho</w:t>
      </w:r>
    </w:p>
    <w:p w14:paraId="1238F695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Fluxo de potência DC</w:t>
      </w:r>
      <w:r w:rsidRPr="00D90BB1">
        <w:rPr>
          <w:rFonts w:eastAsia="Times New Roman" w:cs="Times New Roman"/>
          <w:sz w:val="24"/>
          <w:szCs w:val="24"/>
          <w:lang w:eastAsia="pt-PT"/>
        </w:rPr>
        <w:t>;</w:t>
      </w:r>
    </w:p>
    <w:p w14:paraId="2E58703F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Restrições físicas reais (capacidade de linhas, balanço carga–geração).</w:t>
      </w:r>
    </w:p>
    <w:p w14:paraId="11D6EA9F" w14:textId="77777777" w:rsidR="0012299A" w:rsidRPr="00D90BB1" w:rsidRDefault="0012299A" w:rsidP="00122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Modelo de restabelecimento</w:t>
      </w:r>
    </w:p>
    <w:p w14:paraId="7CF37F0B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Prioridade de reparo (transmissão, instalações críticas, distribuição);</w:t>
      </w:r>
    </w:p>
    <w:p w14:paraId="245DCC6C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Mobilização de recursos;</w:t>
      </w:r>
    </w:p>
    <w:p w14:paraId="3D7815CA" w14:textId="77777777" w:rsidR="0012299A" w:rsidRPr="00D90BB1" w:rsidRDefault="0012299A" w:rsidP="001229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Sequência de restauração parametrizada.</w:t>
      </w:r>
    </w:p>
    <w:p w14:paraId="42E8B5F5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ascii="Segoe UI Emoji" w:eastAsia="Times New Roman" w:hAnsi="Segoe UI Emoji" w:cs="Segoe UI Emoji"/>
          <w:sz w:val="24"/>
          <w:szCs w:val="24"/>
          <w:lang w:eastAsia="pt-PT"/>
        </w:rPr>
        <w:t>👉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Esta estrutura é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exemplar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para trabalhos de resiliência de sistemas elétricos.</w:t>
      </w:r>
    </w:p>
    <w:p w14:paraId="74994E18" w14:textId="77777777" w:rsidR="0012299A" w:rsidRPr="00D90BB1" w:rsidRDefault="0012299A" w:rsidP="0012299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F6DE1D4">
          <v:rect id="_x0000_i1028" style="width:0;height:1.5pt" o:hralign="center" o:hrstd="t" o:hr="t" fillcolor="#a0a0a0" stroked="f"/>
        </w:pict>
      </w:r>
    </w:p>
    <w:p w14:paraId="3855E39C" w14:textId="77777777" w:rsidR="0012299A" w:rsidRPr="00D90BB1" w:rsidRDefault="0012299A" w:rsidP="001229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D90BB1">
        <w:rPr>
          <w:rFonts w:eastAsia="Times New Roman" w:cs="Times New Roman"/>
          <w:b/>
          <w:bCs/>
          <w:sz w:val="27"/>
          <w:szCs w:val="27"/>
          <w:lang w:eastAsia="pt-PT"/>
        </w:rPr>
        <w:t>1.4 Foco explícito em transmissão</w:t>
      </w:r>
    </w:p>
    <w:p w14:paraId="520998EF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Resultados importantes:</w:t>
      </w:r>
    </w:p>
    <w:p w14:paraId="553CEAAE" w14:textId="77777777" w:rsidR="0012299A" w:rsidRPr="00D90BB1" w:rsidRDefault="0012299A" w:rsidP="00122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Apenas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≈8% das subestações de transmissão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foram danificadas no Ike;</w:t>
      </w:r>
    </w:p>
    <w:p w14:paraId="1D03F798" w14:textId="77777777" w:rsidR="0012299A" w:rsidRPr="00D90BB1" w:rsidRDefault="0012299A" w:rsidP="00122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Distribuição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sofreu danos muito maiores;</w:t>
      </w:r>
    </w:p>
    <w:p w14:paraId="3C3E48A7" w14:textId="77777777" w:rsidR="0012299A" w:rsidRPr="00D90BB1" w:rsidRDefault="0012299A" w:rsidP="00122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A transmissão mostra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alta robustez</w:t>
      </w:r>
      <w:r w:rsidRPr="00D90BB1">
        <w:rPr>
          <w:rFonts w:eastAsia="Times New Roman" w:cs="Times New Roman"/>
          <w:sz w:val="24"/>
          <w:szCs w:val="24"/>
          <w:lang w:eastAsia="pt-PT"/>
        </w:rPr>
        <w:t>, mas ainda assim influencia:</w:t>
      </w:r>
    </w:p>
    <w:p w14:paraId="3C75FE9E" w14:textId="77777777" w:rsidR="0012299A" w:rsidRPr="00D90BB1" w:rsidRDefault="0012299A" w:rsidP="00122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tempo total de recuperação,</w:t>
      </w:r>
    </w:p>
    <w:p w14:paraId="15B5C5F9" w14:textId="77777777" w:rsidR="0012299A" w:rsidRPr="00D90BB1" w:rsidRDefault="0012299A" w:rsidP="00122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impactos sistémicos,</w:t>
      </w:r>
    </w:p>
    <w:p w14:paraId="79789B60" w14:textId="77777777" w:rsidR="0012299A" w:rsidRPr="00D90BB1" w:rsidRDefault="0012299A" w:rsidP="00122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perdas económicas agregadas.</w:t>
      </w:r>
    </w:p>
    <w:p w14:paraId="22ED9B60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Essa distinção é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crucial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para o seu argumento de que:</w:t>
      </w:r>
    </w:p>
    <w:p w14:paraId="106E8220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a transmissão falha menos, mas quando falha, o impacto sistémico é elevado.</w:t>
      </w:r>
    </w:p>
    <w:p w14:paraId="7A82CDB4" w14:textId="77777777" w:rsidR="0012299A" w:rsidRPr="00D90BB1" w:rsidRDefault="0012299A" w:rsidP="0012299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57D2EAD">
          <v:rect id="_x0000_i1029" style="width:0;height:1.5pt" o:hralign="center" o:hrstd="t" o:hr="t" fillcolor="#a0a0a0" stroked="f"/>
        </w:pict>
      </w:r>
    </w:p>
    <w:p w14:paraId="071A688E" w14:textId="77777777" w:rsidR="0012299A" w:rsidRPr="00D90BB1" w:rsidRDefault="0012299A" w:rsidP="0012299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D90BB1">
        <w:rPr>
          <w:rFonts w:eastAsia="Times New Roman" w:cs="Times New Roman"/>
          <w:b/>
          <w:bCs/>
          <w:sz w:val="27"/>
          <w:szCs w:val="27"/>
          <w:lang w:eastAsia="pt-PT"/>
        </w:rPr>
        <w:t>1.5 Dimensões de resiliência e interpretação crítica</w:t>
      </w:r>
    </w:p>
    <w:p w14:paraId="1B29D44C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Os autores mostram que:</w:t>
      </w:r>
    </w:p>
    <w:p w14:paraId="2EC230BE" w14:textId="77777777" w:rsidR="0012299A" w:rsidRPr="00D90BB1" w:rsidRDefault="0012299A" w:rsidP="00122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lastRenderedPageBreak/>
        <w:t xml:space="preserve">Resiliência técnica (transmissão) ≈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99,96%</w:t>
      </w:r>
      <w:r w:rsidRPr="00D90BB1">
        <w:rPr>
          <w:rFonts w:eastAsia="Times New Roman" w:cs="Times New Roman"/>
          <w:sz w:val="24"/>
          <w:szCs w:val="24"/>
          <w:lang w:eastAsia="pt-PT"/>
        </w:rPr>
        <w:t>;</w:t>
      </w:r>
    </w:p>
    <w:p w14:paraId="6AD4A749" w14:textId="77777777" w:rsidR="0012299A" w:rsidRPr="00D90BB1" w:rsidRDefault="0012299A" w:rsidP="00122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Resiliência social (clientes) ≈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99,76%</w:t>
      </w:r>
      <w:r w:rsidRPr="00D90BB1">
        <w:rPr>
          <w:rFonts w:eastAsia="Times New Roman" w:cs="Times New Roman"/>
          <w:sz w:val="24"/>
          <w:szCs w:val="24"/>
          <w:lang w:eastAsia="pt-PT"/>
        </w:rPr>
        <w:t>;</w:t>
      </w:r>
    </w:p>
    <w:p w14:paraId="7B22998C" w14:textId="77777777" w:rsidR="0012299A" w:rsidRPr="00D90BB1" w:rsidRDefault="0012299A" w:rsidP="00122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Pequenas variações percentuais implicam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dezenas de milhões de dólares/ano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em perdas;</w:t>
      </w:r>
    </w:p>
    <w:p w14:paraId="79697DC7" w14:textId="77777777" w:rsidR="0012299A" w:rsidRPr="00D90BB1" w:rsidRDefault="0012299A" w:rsidP="00122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Introduzem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escala logarítmica de resiliência</w:t>
      </w:r>
      <w:r w:rsidRPr="00D90BB1">
        <w:rPr>
          <w:rFonts w:eastAsia="Times New Roman" w:cs="Times New Roman"/>
          <w:sz w:val="24"/>
          <w:szCs w:val="24"/>
          <w:lang w:eastAsia="pt-PT"/>
        </w:rPr>
        <w:t>, inspirada no índice de confiabilidade.</w:t>
      </w:r>
    </w:p>
    <w:p w14:paraId="5F0B271D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ascii="Segoe UI Emoji" w:eastAsia="Times New Roman" w:hAnsi="Segoe UI Emoji" w:cs="Segoe UI Emoji"/>
          <w:sz w:val="24"/>
          <w:szCs w:val="24"/>
          <w:lang w:eastAsia="pt-PT"/>
        </w:rPr>
        <w:t>👉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Excelente base para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discussão crítica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na sua tese.</w:t>
      </w:r>
    </w:p>
    <w:p w14:paraId="49E86C0F" w14:textId="77777777" w:rsidR="0012299A" w:rsidRPr="00D90BB1" w:rsidRDefault="0012299A" w:rsidP="0012299A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E746037">
          <v:rect id="_x0000_i1030" style="width:0;height:1.5pt" o:hralign="center" o:hrstd="t" o:hr="t" fillcolor="#a0a0a0" stroked="f"/>
        </w:pict>
      </w:r>
    </w:p>
    <w:p w14:paraId="74866432" w14:textId="77777777" w:rsidR="0012299A" w:rsidRPr="00D90BB1" w:rsidRDefault="0012299A" w:rsidP="0012299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D90BB1">
        <w:rPr>
          <w:rFonts w:eastAsia="Times New Roman" w:cs="Times New Roman"/>
          <w:b/>
          <w:bCs/>
          <w:sz w:val="36"/>
          <w:szCs w:val="36"/>
          <w:lang w:eastAsia="pt-PT"/>
        </w:rPr>
        <w:t>2. Limitações (que abrem espaço para a sua contribuição)</w:t>
      </w:r>
    </w:p>
    <w:p w14:paraId="62BECFD1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Apesar de ser um artigo de topo, há limitações relevantes:</w:t>
      </w:r>
    </w:p>
    <w:p w14:paraId="4D37764B" w14:textId="77777777" w:rsidR="0012299A" w:rsidRPr="00D90BB1" w:rsidRDefault="0012299A" w:rsidP="00122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ascii="Segoe UI Emoji" w:eastAsia="Times New Roman" w:hAnsi="Segoe UI Emoji" w:cs="Segoe UI Emoji"/>
          <w:sz w:val="24"/>
          <w:szCs w:val="24"/>
          <w:lang w:eastAsia="pt-PT"/>
        </w:rPr>
        <w:t>❌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Modelo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complexo e intensivo em dados</w:t>
      </w:r>
      <w:r w:rsidRPr="00D90BB1">
        <w:rPr>
          <w:rFonts w:eastAsia="Times New Roman" w:cs="Times New Roman"/>
          <w:sz w:val="24"/>
          <w:szCs w:val="24"/>
          <w:lang w:eastAsia="pt-PT"/>
        </w:rPr>
        <w:t>, difícil de aplicar rotineiramente;</w:t>
      </w:r>
    </w:p>
    <w:p w14:paraId="63C1EE44" w14:textId="77777777" w:rsidR="0012299A" w:rsidRPr="00D90BB1" w:rsidRDefault="0012299A" w:rsidP="00122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ascii="Segoe UI Emoji" w:eastAsia="Times New Roman" w:hAnsi="Segoe UI Emoji" w:cs="Segoe UI Emoji"/>
          <w:sz w:val="24"/>
          <w:szCs w:val="24"/>
          <w:lang w:eastAsia="pt-PT"/>
        </w:rPr>
        <w:t>❌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Resiliência avaliada a nível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sistémico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, não por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trecho individual de linha</w:t>
      </w:r>
      <w:r w:rsidRPr="00D90BB1">
        <w:rPr>
          <w:rFonts w:eastAsia="Times New Roman" w:cs="Times New Roman"/>
          <w:sz w:val="24"/>
          <w:szCs w:val="24"/>
          <w:lang w:eastAsia="pt-PT"/>
        </w:rPr>
        <w:t>;</w:t>
      </w:r>
    </w:p>
    <w:p w14:paraId="21DE8A6F" w14:textId="77777777" w:rsidR="0012299A" w:rsidRPr="00D90BB1" w:rsidRDefault="0012299A" w:rsidP="00122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ascii="Segoe UI Emoji" w:eastAsia="Times New Roman" w:hAnsi="Segoe UI Emoji" w:cs="Segoe UI Emoji"/>
          <w:sz w:val="24"/>
          <w:szCs w:val="24"/>
          <w:lang w:eastAsia="pt-PT"/>
        </w:rPr>
        <w:t>❌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Forte dependência de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fragilidades empíricas regionais</w:t>
      </w:r>
      <w:r w:rsidRPr="00D90BB1">
        <w:rPr>
          <w:rFonts w:eastAsia="Times New Roman" w:cs="Times New Roman"/>
          <w:sz w:val="24"/>
          <w:szCs w:val="24"/>
          <w:lang w:eastAsia="pt-PT"/>
        </w:rPr>
        <w:t>;</w:t>
      </w:r>
    </w:p>
    <w:p w14:paraId="71719518" w14:textId="77777777" w:rsidR="0012299A" w:rsidRPr="00D90BB1" w:rsidRDefault="0012299A" w:rsidP="00122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ascii="Segoe UI Emoji" w:eastAsia="Times New Roman" w:hAnsi="Segoe UI Emoji" w:cs="Segoe UI Emoji"/>
          <w:sz w:val="24"/>
          <w:szCs w:val="24"/>
          <w:lang w:eastAsia="pt-PT"/>
        </w:rPr>
        <w:t>❌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Não propõe um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índice simples e operacional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para uso prático por operadores.</w:t>
      </w:r>
    </w:p>
    <w:p w14:paraId="2D71B294" w14:textId="77777777" w:rsidR="0012299A" w:rsidRPr="00D90BB1" w:rsidRDefault="0012299A" w:rsidP="0012299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ascii="Segoe UI Emoji" w:eastAsia="Times New Roman" w:hAnsi="Segoe UI Emoji" w:cs="Segoe UI Emoji"/>
          <w:sz w:val="24"/>
          <w:szCs w:val="24"/>
          <w:lang w:eastAsia="pt-PT"/>
        </w:rPr>
        <w:t>➡️</w:t>
      </w:r>
      <w:r w:rsidRPr="00D90BB1">
        <w:rPr>
          <w:rFonts w:eastAsia="Times New Roman" w:cs="Times New Roman"/>
          <w:sz w:val="24"/>
          <w:szCs w:val="24"/>
          <w:lang w:eastAsia="pt-PT"/>
        </w:rPr>
        <w:t xml:space="preserve"> Estas limitações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reforçam diretamente a originalidade do seu trabalho</w:t>
      </w:r>
      <w:r w:rsidRPr="00D90BB1">
        <w:rPr>
          <w:rFonts w:eastAsia="Times New Roman" w:cs="Times New Roman"/>
          <w:sz w:val="24"/>
          <w:szCs w:val="24"/>
          <w:lang w:eastAsia="pt-PT"/>
        </w:rPr>
        <w:t>, que busca:</w:t>
      </w:r>
    </w:p>
    <w:p w14:paraId="7DDCB127" w14:textId="77777777" w:rsidR="0012299A" w:rsidRPr="00D90BB1" w:rsidRDefault="0012299A" w:rsidP="00122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um índice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mais simples</w:t>
      </w:r>
      <w:r w:rsidRPr="00D90BB1">
        <w:rPr>
          <w:rFonts w:eastAsia="Times New Roman" w:cs="Times New Roman"/>
          <w:sz w:val="24"/>
          <w:szCs w:val="24"/>
          <w:lang w:eastAsia="pt-PT"/>
        </w:rPr>
        <w:t>;</w:t>
      </w:r>
    </w:p>
    <w:p w14:paraId="168519C2" w14:textId="77777777" w:rsidR="0012299A" w:rsidRPr="00D90BB1" w:rsidRDefault="0012299A" w:rsidP="00122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 xml:space="preserve">aplicável a </w:t>
      </w:r>
      <w:r w:rsidRPr="00D90BB1">
        <w:rPr>
          <w:rFonts w:eastAsia="Times New Roman" w:cs="Times New Roman"/>
          <w:b/>
          <w:bCs/>
          <w:sz w:val="24"/>
          <w:szCs w:val="24"/>
          <w:lang w:eastAsia="pt-PT"/>
        </w:rPr>
        <w:t>linhas de transmissão específicas</w:t>
      </w:r>
      <w:r w:rsidRPr="00D90BB1">
        <w:rPr>
          <w:rFonts w:eastAsia="Times New Roman" w:cs="Times New Roman"/>
          <w:sz w:val="24"/>
          <w:szCs w:val="24"/>
          <w:lang w:eastAsia="pt-PT"/>
        </w:rPr>
        <w:t>;</w:t>
      </w:r>
    </w:p>
    <w:p w14:paraId="0B39F33C" w14:textId="77777777" w:rsidR="0012299A" w:rsidRPr="00D90BB1" w:rsidRDefault="0012299A" w:rsidP="00122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D90BB1">
        <w:rPr>
          <w:rFonts w:eastAsia="Times New Roman" w:cs="Times New Roman"/>
          <w:sz w:val="24"/>
          <w:szCs w:val="24"/>
          <w:lang w:eastAsia="pt-PT"/>
        </w:rPr>
        <w:t>com menor dependência de bases de dados extensas.</w:t>
      </w:r>
    </w:p>
    <w:p w14:paraId="4934EA69" w14:textId="77777777" w:rsidR="0012299A" w:rsidRPr="00D90BB1" w:rsidRDefault="0012299A" w:rsidP="0012299A"/>
    <w:p w14:paraId="0C01E509" w14:textId="77777777" w:rsidR="0012299A" w:rsidRPr="00E22032" w:rsidRDefault="0012299A" w:rsidP="00E22032">
      <w:pPr>
        <w:rPr>
          <w:lang w:val="pt-BR"/>
        </w:rPr>
      </w:pPr>
    </w:p>
    <w:sectPr w:rsidR="0012299A" w:rsidRPr="00E22032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4C4"/>
    <w:multiLevelType w:val="multilevel"/>
    <w:tmpl w:val="8D2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3D89"/>
    <w:multiLevelType w:val="multilevel"/>
    <w:tmpl w:val="FA8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175A1"/>
    <w:multiLevelType w:val="multilevel"/>
    <w:tmpl w:val="C2A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779DB"/>
    <w:multiLevelType w:val="multilevel"/>
    <w:tmpl w:val="208C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65F5A"/>
    <w:multiLevelType w:val="multilevel"/>
    <w:tmpl w:val="7062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60051"/>
    <w:multiLevelType w:val="multilevel"/>
    <w:tmpl w:val="96F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641C0"/>
    <w:multiLevelType w:val="multilevel"/>
    <w:tmpl w:val="2958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132933">
    <w:abstractNumId w:val="6"/>
  </w:num>
  <w:num w:numId="2" w16cid:durableId="2003197372">
    <w:abstractNumId w:val="1"/>
  </w:num>
  <w:num w:numId="3" w16cid:durableId="1045443574">
    <w:abstractNumId w:val="3"/>
  </w:num>
  <w:num w:numId="4" w16cid:durableId="115684420">
    <w:abstractNumId w:val="2"/>
  </w:num>
  <w:num w:numId="5" w16cid:durableId="1864131863">
    <w:abstractNumId w:val="4"/>
  </w:num>
  <w:num w:numId="6" w16cid:durableId="1087465045">
    <w:abstractNumId w:val="5"/>
  </w:num>
  <w:num w:numId="7" w16cid:durableId="56414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32"/>
    <w:rsid w:val="000131F2"/>
    <w:rsid w:val="0007293B"/>
    <w:rsid w:val="0008424C"/>
    <w:rsid w:val="00096FFB"/>
    <w:rsid w:val="000C625D"/>
    <w:rsid w:val="000D45BD"/>
    <w:rsid w:val="0012299A"/>
    <w:rsid w:val="00172112"/>
    <w:rsid w:val="00196796"/>
    <w:rsid w:val="0024739D"/>
    <w:rsid w:val="00347332"/>
    <w:rsid w:val="00393441"/>
    <w:rsid w:val="0039444F"/>
    <w:rsid w:val="003F704C"/>
    <w:rsid w:val="004234AF"/>
    <w:rsid w:val="00423B9B"/>
    <w:rsid w:val="00435A17"/>
    <w:rsid w:val="004B5BB7"/>
    <w:rsid w:val="00502614"/>
    <w:rsid w:val="005272F0"/>
    <w:rsid w:val="00595B01"/>
    <w:rsid w:val="0061413D"/>
    <w:rsid w:val="007B1727"/>
    <w:rsid w:val="007E69F0"/>
    <w:rsid w:val="00804B85"/>
    <w:rsid w:val="008226B2"/>
    <w:rsid w:val="008C0D5E"/>
    <w:rsid w:val="00A04542"/>
    <w:rsid w:val="00A74270"/>
    <w:rsid w:val="00A773DD"/>
    <w:rsid w:val="00AA4524"/>
    <w:rsid w:val="00AC5231"/>
    <w:rsid w:val="00B7708D"/>
    <w:rsid w:val="00B811CD"/>
    <w:rsid w:val="00BD2C19"/>
    <w:rsid w:val="00BF51C6"/>
    <w:rsid w:val="00C03A12"/>
    <w:rsid w:val="00CE4C5C"/>
    <w:rsid w:val="00D25A09"/>
    <w:rsid w:val="00D36EA1"/>
    <w:rsid w:val="00D63D8E"/>
    <w:rsid w:val="00E22032"/>
    <w:rsid w:val="00ED59D0"/>
    <w:rsid w:val="00EF273B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BC603"/>
  <w15:chartTrackingRefBased/>
  <w15:docId w15:val="{D8967847-81BF-4583-8E94-05753BFF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0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0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0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0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0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032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032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032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032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032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E22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032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22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1215</Words>
  <Characters>6565</Characters>
  <Application>Microsoft Office Word</Application>
  <DocSecurity>0</DocSecurity>
  <Lines>54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2025-05-07T19:20:00Z</dcterms:created>
  <dcterms:modified xsi:type="dcterms:W3CDTF">2026-01-17T11:51:00Z</dcterms:modified>
</cp:coreProperties>
</file>