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307E1" w14:textId="77777777" w:rsidR="00EF5081" w:rsidRDefault="00EF5081" w:rsidP="00EF5081">
      <w:r>
        <w:t>Título e Autores</w:t>
      </w:r>
    </w:p>
    <w:p w14:paraId="3DD1FE15" w14:textId="77777777" w:rsidR="00EF5081" w:rsidRDefault="00EF5081" w:rsidP="00EF5081">
      <w:r>
        <w:t>Título: Power Systems Resilience Assessment: Hardening and Smart Operational Enhancement Strategies</w:t>
      </w:r>
    </w:p>
    <w:p w14:paraId="391A2298" w14:textId="77777777" w:rsidR="00EF5081" w:rsidRDefault="00EF5081" w:rsidP="00EF5081"/>
    <w:p w14:paraId="3C0D4013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Autores: Mathaios Panteli, Dimitris N. Trakas, Pierluigi Mancarella, Nikos D. Hatziargyriou</w:t>
      </w:r>
    </w:p>
    <w:p w14:paraId="635FF30A" w14:textId="77777777" w:rsidR="00EF5081" w:rsidRDefault="00EF5081" w:rsidP="00EF5081">
      <w:r>
        <w:t>Afiliações: University of Manchester, National Technical University of Athens, University of Melbourne</w:t>
      </w:r>
    </w:p>
    <w:p w14:paraId="402638E1" w14:textId="77777777" w:rsidR="00EF5081" w:rsidRDefault="00EF5081" w:rsidP="00EF5081"/>
    <w:p w14:paraId="72FBB42D" w14:textId="472227AE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Resumo do Abstract</w:t>
      </w:r>
    </w:p>
    <w:p w14:paraId="3D3C119E" w14:textId="77777777" w:rsidR="00EF5081" w:rsidRDefault="00EF5081" w:rsidP="00EF5081">
      <w:pPr>
        <w:rPr>
          <w:lang w:val="pt-BR"/>
        </w:rPr>
      </w:pPr>
      <w:r w:rsidRPr="00EF5081">
        <w:rPr>
          <w:lang w:val="pt-BR"/>
        </w:rPr>
        <w:t>O artigo propõe uma abordagem abrangente e quantitativa para avaliação da resiliência de sistemas elétricos sujeitos a eventos extremos. Apresenta métricas temporais (</w:t>
      </w:r>
      <w:r>
        <w:t>Φ</w:t>
      </w:r>
      <w:r w:rsidRPr="00EF5081">
        <w:rPr>
          <w:lang w:val="pt-BR"/>
        </w:rPr>
        <w:t xml:space="preserve">, </w:t>
      </w:r>
      <w:r>
        <w:t>Λ</w:t>
      </w:r>
      <w:r w:rsidRPr="00EF5081">
        <w:rPr>
          <w:lang w:val="pt-BR"/>
        </w:rPr>
        <w:t xml:space="preserve">, </w:t>
      </w:r>
      <w:r>
        <w:t>Ε</w:t>
      </w:r>
      <w:r w:rsidRPr="00EF5081">
        <w:rPr>
          <w:lang w:val="pt-BR"/>
        </w:rPr>
        <w:t xml:space="preserve">, </w:t>
      </w:r>
      <w:r>
        <w:t>Π</w:t>
      </w:r>
      <w:r w:rsidRPr="00EF5081">
        <w:rPr>
          <w:lang w:val="pt-BR"/>
        </w:rPr>
        <w:t>) aplicadas ao conceito do trapézio da resiliência, e compara estratégias de reforço (hardening) e resposta operacional inteligente. É conduzido um estudo de caso em uma rede de 29 barras do Reino Unido, utilizando simulações baseadas em Monte Carlo para avaliar a performance diante de tempestades severas.</w:t>
      </w:r>
    </w:p>
    <w:p w14:paraId="69C2D378" w14:textId="77777777" w:rsidR="00EF5081" w:rsidRPr="00EF5081" w:rsidRDefault="00EF5081" w:rsidP="00EF5081">
      <w:pPr>
        <w:rPr>
          <w:lang w:val="pt-BR"/>
        </w:rPr>
      </w:pPr>
    </w:p>
    <w:p w14:paraId="447CAA32" w14:textId="181CD39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Introdução</w:t>
      </w:r>
    </w:p>
    <w:p w14:paraId="7D9A2B29" w14:textId="77777777" w:rsidR="00EF5081" w:rsidRDefault="00EF5081" w:rsidP="00EF5081">
      <w:pPr>
        <w:rPr>
          <w:lang w:val="pt-BR"/>
        </w:rPr>
      </w:pPr>
      <w:r w:rsidRPr="00EF5081">
        <w:rPr>
          <w:lang w:val="pt-BR"/>
        </w:rPr>
        <w:t>A resiliência é tratada como uma extensão da confiabilidade e vai além da simples redundância. Segundo os autores, a resiliência abrange a capacidade do sistema em absorver choques, adaptar-se e recuperar-se de eventos extremos, com foco especial em ameaças de baixa frequência e alto impacto como tempestades, incêndios e ataques cibernéticos. A estrutura conceitual apresentada é baseada em um modelo temporal conhecido como trapézio da resiliência (resilience trapezoid).</w:t>
      </w:r>
    </w:p>
    <w:p w14:paraId="4738F6D7" w14:textId="77777777" w:rsidR="00EF5081" w:rsidRPr="00EF5081" w:rsidRDefault="00EF5081" w:rsidP="00EF5081">
      <w:pPr>
        <w:rPr>
          <w:lang w:val="pt-BR"/>
        </w:rPr>
      </w:pPr>
    </w:p>
    <w:p w14:paraId="1E76AC6C" w14:textId="08FD559B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Metodologia</w:t>
      </w:r>
    </w:p>
    <w:p w14:paraId="49C16DB2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A metodologia se ancora no trapézio da resiliência, subdividido em três fases: (i) resistência pré-evento, (ii) absorção e transição durante o evento, e (iii) processo de restauração. As métricas </w:t>
      </w:r>
      <w:r>
        <w:t>Φ</w:t>
      </w:r>
      <w:r w:rsidRPr="00EF5081">
        <w:rPr>
          <w:lang w:val="pt-BR"/>
        </w:rPr>
        <w:t xml:space="preserve">, </w:t>
      </w:r>
      <w:r>
        <w:t>Λ</w:t>
      </w:r>
      <w:r w:rsidRPr="00EF5081">
        <w:rPr>
          <w:lang w:val="pt-BR"/>
        </w:rPr>
        <w:t xml:space="preserve">, </w:t>
      </w:r>
      <w:r>
        <w:t>Ε</w:t>
      </w:r>
      <w:r w:rsidRPr="00EF5081">
        <w:rPr>
          <w:lang w:val="pt-BR"/>
        </w:rPr>
        <w:t xml:space="preserve"> e </w:t>
      </w:r>
      <w:r>
        <w:t>Π</w:t>
      </w:r>
      <w:r w:rsidRPr="00EF5081">
        <w:rPr>
          <w:lang w:val="pt-BR"/>
        </w:rPr>
        <w:t xml:space="preserve"> são definidas como:</w:t>
      </w:r>
    </w:p>
    <w:p w14:paraId="1C9A23ED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• </w:t>
      </w:r>
      <w:r>
        <w:t>Φ</w:t>
      </w:r>
      <w:r w:rsidRPr="00EF5081">
        <w:rPr>
          <w:lang w:val="pt-BR"/>
        </w:rPr>
        <w:t xml:space="preserve"> (phi): velocidade da degradação de desempenho após o evento;</w:t>
      </w:r>
    </w:p>
    <w:p w14:paraId="606101E7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• </w:t>
      </w:r>
      <w:r>
        <w:t>Λ</w:t>
      </w:r>
      <w:r w:rsidRPr="00EF5081">
        <w:rPr>
          <w:lang w:val="pt-BR"/>
        </w:rPr>
        <w:t xml:space="preserve"> (lambda): profundidade da perda de desempenho;</w:t>
      </w:r>
    </w:p>
    <w:p w14:paraId="0492EDB6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• </w:t>
      </w:r>
      <w:r>
        <w:t>Ε</w:t>
      </w:r>
      <w:r w:rsidRPr="00EF5081">
        <w:rPr>
          <w:lang w:val="pt-BR"/>
        </w:rPr>
        <w:t xml:space="preserve"> (epsilon): duração da fase degradada;</w:t>
      </w:r>
    </w:p>
    <w:p w14:paraId="13B61D16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• </w:t>
      </w:r>
      <w:r>
        <w:t>Π</w:t>
      </w:r>
      <w:r w:rsidRPr="00EF5081">
        <w:rPr>
          <w:lang w:val="pt-BR"/>
        </w:rPr>
        <w:t xml:space="preserve"> (pi): velocidade de recuperação até a normalidade.</w:t>
      </w:r>
    </w:p>
    <w:p w14:paraId="4C8690C9" w14:textId="77777777" w:rsidR="00EF5081" w:rsidRDefault="00EF5081" w:rsidP="00EF5081">
      <w:pPr>
        <w:rPr>
          <w:lang w:val="pt-BR"/>
        </w:rPr>
      </w:pPr>
      <w:r w:rsidRPr="00EF5081">
        <w:rPr>
          <w:lang w:val="pt-BR"/>
        </w:rPr>
        <w:t>Essas métricas permitem quantificar o impacto e a recuperação, sendo integradas em um índice composto de resiliência.</w:t>
      </w:r>
    </w:p>
    <w:p w14:paraId="2EFA4240" w14:textId="77777777" w:rsidR="00EF5081" w:rsidRPr="00EF5081" w:rsidRDefault="00EF5081" w:rsidP="00EF5081">
      <w:pPr>
        <w:rPr>
          <w:lang w:val="pt-BR"/>
        </w:rPr>
      </w:pPr>
    </w:p>
    <w:p w14:paraId="616D46E9" w14:textId="7C1FE2B9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Resultados</w:t>
      </w:r>
    </w:p>
    <w:p w14:paraId="384634F5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A rede de 29 barras do Reino Unido é usada como estudo de caso. Uma tempestade de 24h com ventos de até 50 m/s é simulada por Monte Carlo, gerando diferentes cenários de falhas em linhas e subestações. Três estratégias são comparadas:</w:t>
      </w:r>
    </w:p>
    <w:p w14:paraId="786A6C73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(i) Caso base (sem intervenção);</w:t>
      </w:r>
    </w:p>
    <w:p w14:paraId="25CF62A1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(ii) Hardening estrutural: aumento de 20% da capacidade das linhas;</w:t>
      </w:r>
    </w:p>
    <w:p w14:paraId="20076EDE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lastRenderedPageBreak/>
        <w:t>(iii) Resposta rápida: redução de 20% no tempo médio de restauração.</w:t>
      </w:r>
    </w:p>
    <w:p w14:paraId="5834ECD9" w14:textId="77777777" w:rsid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Os indicadores </w:t>
      </w:r>
      <w:r>
        <w:t>ΦΛΕΠ</w:t>
      </w:r>
      <w:r w:rsidRPr="00EF5081">
        <w:rPr>
          <w:lang w:val="pt-BR"/>
        </w:rPr>
        <w:t xml:space="preserve"> mostram que o hardening reduz drasticamente a profundidade da falha (</w:t>
      </w:r>
      <w:r>
        <w:t>Λ</w:t>
      </w:r>
      <w:r w:rsidRPr="00EF5081">
        <w:rPr>
          <w:lang w:val="pt-BR"/>
        </w:rPr>
        <w:t>) e acelera a recuperação (</w:t>
      </w:r>
      <w:r>
        <w:t>Π</w:t>
      </w:r>
      <w:r w:rsidRPr="00EF5081">
        <w:rPr>
          <w:lang w:val="pt-BR"/>
        </w:rPr>
        <w:t>).</w:t>
      </w:r>
    </w:p>
    <w:p w14:paraId="28A2B522" w14:textId="77777777" w:rsidR="00EF5081" w:rsidRPr="00EF5081" w:rsidRDefault="00EF5081" w:rsidP="00EF5081">
      <w:pPr>
        <w:rPr>
          <w:lang w:val="pt-BR"/>
        </w:rPr>
      </w:pPr>
    </w:p>
    <w:p w14:paraId="016F3580" w14:textId="03E2AF4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Discussão</w:t>
      </w:r>
    </w:p>
    <w:p w14:paraId="22641BDC" w14:textId="77777777" w:rsidR="00EF5081" w:rsidRDefault="00EF5081" w:rsidP="00EF5081">
      <w:pPr>
        <w:rPr>
          <w:lang w:val="pt-BR"/>
        </w:rPr>
      </w:pPr>
      <w:r w:rsidRPr="00EF5081">
        <w:rPr>
          <w:lang w:val="pt-BR"/>
        </w:rPr>
        <w:t>Um dos principais destaques do artigo é o uso do índice RAW (Resilience Achievement Worth), que quantifica o ganho de resiliência obtido por reforçar cada corredor de transmissão. Isso permite priorizar investimentos em hardening com base em custo-benefício. Além disso, o artigo avalia estratégias operacionais como microgrids, islanding adaptativo e controle local de carga. O índice SRI (System Resilience Index) adaptativo é sugerido como métrica operacional ajustável com base na criticidade de carga.</w:t>
      </w:r>
    </w:p>
    <w:p w14:paraId="2D0E6EAA" w14:textId="77777777" w:rsidR="00EF5081" w:rsidRPr="00EF5081" w:rsidRDefault="00EF5081" w:rsidP="00EF5081">
      <w:pPr>
        <w:rPr>
          <w:lang w:val="pt-BR"/>
        </w:rPr>
      </w:pPr>
    </w:p>
    <w:p w14:paraId="758D8EC7" w14:textId="4B595DD2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Conclusão Crítica</w:t>
      </w:r>
    </w:p>
    <w:p w14:paraId="52AB550D" w14:textId="77777777" w:rsid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O artigo é referência na definição quantitativa de resiliência elétrica. A combinação entre hardening físico e ações operacionais inteligentes mostra que resiliência não é uma única ação, mas sim uma estratégia multidimensional. A estrutura </w:t>
      </w:r>
      <w:r>
        <w:t>ΦΛΕΠ</w:t>
      </w:r>
      <w:r w:rsidRPr="00EF5081">
        <w:rPr>
          <w:lang w:val="pt-BR"/>
        </w:rPr>
        <w:t xml:space="preserve"> aplicada ao trapézio da resiliência é replicável e pode ser usada em sistemas como o SIN brasileiro. Fica como ponto para futuras investigações a integração dessas métricas com dados climáticos reais e impacto econômico por tempo de indisponibilidade.</w:t>
      </w:r>
    </w:p>
    <w:p w14:paraId="3EF56665" w14:textId="77777777" w:rsidR="00EF5081" w:rsidRPr="00EF5081" w:rsidRDefault="00EF5081" w:rsidP="00EF5081">
      <w:pPr>
        <w:rPr>
          <w:lang w:val="pt-BR"/>
        </w:rPr>
      </w:pPr>
    </w:p>
    <w:p w14:paraId="11EAB369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Resumo dos Achados Principais</w:t>
      </w:r>
    </w:p>
    <w:p w14:paraId="73F174E5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- Introdução das métricas </w:t>
      </w:r>
      <w:r>
        <w:t>ΦΛΕΠ</w:t>
      </w:r>
      <w:r w:rsidRPr="00EF5081">
        <w:rPr>
          <w:lang w:val="pt-BR"/>
        </w:rPr>
        <w:t xml:space="preserve"> para quantificar resiliência elétrica;</w:t>
      </w:r>
    </w:p>
    <w:p w14:paraId="111E6669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- Aplicação prática em rede real com simulação de eventos extremos;</w:t>
      </w:r>
    </w:p>
    <w:p w14:paraId="564B8F4D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- Estratégia de hardening reduz perdas em até 40% em relação ao caso base;</w:t>
      </w:r>
    </w:p>
    <w:p w14:paraId="2BC56FEA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- Uso do índice RAW para otimizar investimento em reforço;</w:t>
      </w:r>
    </w:p>
    <w:p w14:paraId="50632FE9" w14:textId="77777777" w:rsidR="00EF5081" w:rsidRDefault="00EF5081" w:rsidP="00EF5081">
      <w:pPr>
        <w:rPr>
          <w:lang w:val="pt-BR"/>
        </w:rPr>
      </w:pPr>
      <w:r w:rsidRPr="00EF5081">
        <w:rPr>
          <w:lang w:val="pt-BR"/>
        </w:rPr>
        <w:t>- Proposta de islanding defensivo controlado por SRI adaptativo.</w:t>
      </w:r>
    </w:p>
    <w:p w14:paraId="52AE7E0F" w14:textId="77777777" w:rsidR="00EF5081" w:rsidRPr="00EF5081" w:rsidRDefault="00EF5081" w:rsidP="00EF5081">
      <w:pPr>
        <w:rPr>
          <w:lang w:val="pt-BR"/>
        </w:rPr>
      </w:pPr>
    </w:p>
    <w:p w14:paraId="0831D790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Descrição Técnica de Figuras, Gráficos e Tabelas</w:t>
      </w:r>
    </w:p>
    <w:p w14:paraId="7B276196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• Fig. 1–2: Diagramas conceituais do trapézio e triângulo da resiliência;</w:t>
      </w:r>
    </w:p>
    <w:p w14:paraId="30D7B320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• Fig. 4: Curvas de fragilidade ao vento para linhas de transmissão;</w:t>
      </w:r>
    </w:p>
    <w:p w14:paraId="5DFFA160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• Fig. 5–6: Rede de 29 barras e valores temporais </w:t>
      </w:r>
      <w:r>
        <w:t>ΦΛΕΠ</w:t>
      </w:r>
      <w:r w:rsidRPr="00EF5081">
        <w:rPr>
          <w:lang w:val="pt-BR"/>
        </w:rPr>
        <w:t xml:space="preserve"> para diferentes cenários;</w:t>
      </w:r>
    </w:p>
    <w:p w14:paraId="32DEB60B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• Fig. 9: RAW (Resilience Achievement Worth) para priorização de corredores;</w:t>
      </w:r>
    </w:p>
    <w:p w14:paraId="24FA997E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>• Fig. 11: Comparação de islanding com/sem SRI adaptativo;</w:t>
      </w:r>
    </w:p>
    <w:p w14:paraId="3CDF33EA" w14:textId="77777777" w:rsidR="00EF5081" w:rsidRPr="00EF5081" w:rsidRDefault="00EF5081" w:rsidP="00EF5081">
      <w:pPr>
        <w:rPr>
          <w:lang w:val="pt-BR"/>
        </w:rPr>
      </w:pPr>
      <w:r w:rsidRPr="00EF5081">
        <w:rPr>
          <w:lang w:val="pt-BR"/>
        </w:rPr>
        <w:t xml:space="preserve">• Tabela IV: Valores quantitativos de </w:t>
      </w:r>
      <w:r>
        <w:t>Φ</w:t>
      </w:r>
      <w:r w:rsidRPr="00EF5081">
        <w:rPr>
          <w:lang w:val="pt-BR"/>
        </w:rPr>
        <w:t xml:space="preserve">, </w:t>
      </w:r>
      <w:r>
        <w:t>Λ</w:t>
      </w:r>
      <w:r w:rsidRPr="00EF5081">
        <w:rPr>
          <w:lang w:val="pt-BR"/>
        </w:rPr>
        <w:t xml:space="preserve">, </w:t>
      </w:r>
      <w:r>
        <w:t>Ε</w:t>
      </w:r>
      <w:r w:rsidRPr="00EF5081">
        <w:rPr>
          <w:lang w:val="pt-BR"/>
        </w:rPr>
        <w:t xml:space="preserve">, </w:t>
      </w:r>
      <w:r>
        <w:t>Π</w:t>
      </w:r>
      <w:r w:rsidRPr="00EF5081">
        <w:rPr>
          <w:lang w:val="pt-BR"/>
        </w:rPr>
        <w:t xml:space="preserve"> para cada estratégia;</w:t>
      </w:r>
    </w:p>
    <w:p w14:paraId="59D77A3D" w14:textId="77777777" w:rsidR="00EF5081" w:rsidRDefault="00EF5081" w:rsidP="00EF5081">
      <w:pPr>
        <w:rPr>
          <w:lang w:val="pt-BR"/>
        </w:rPr>
      </w:pPr>
      <w:r w:rsidRPr="00EF5081">
        <w:rPr>
          <w:lang w:val="pt-BR"/>
        </w:rPr>
        <w:t>• Tabela V: Comparação de desempenho entre as estratégias analisadas.</w:t>
      </w:r>
    </w:p>
    <w:p w14:paraId="6C8D7459" w14:textId="77777777" w:rsidR="00EF5081" w:rsidRDefault="00EF5081" w:rsidP="00EF5081">
      <w:pPr>
        <w:rPr>
          <w:lang w:val="pt-BR"/>
        </w:rPr>
      </w:pPr>
    </w:p>
    <w:p w14:paraId="77DDA6D9" w14:textId="77777777" w:rsidR="001C13B8" w:rsidRDefault="001C13B8" w:rsidP="001C13B8">
      <w:r w:rsidRPr="005F2DBA">
        <w:t>Power Systems Resilience Assessment-Hardening and Smart Operational Enhancement Strategies</w:t>
      </w:r>
    </w:p>
    <w:p w14:paraId="0D56C853" w14:textId="77777777" w:rsidR="001C13B8" w:rsidRDefault="001C13B8" w:rsidP="001C13B8"/>
    <w:p w14:paraId="554FC46F" w14:textId="77777777" w:rsidR="001C13B8" w:rsidRPr="001C13B8" w:rsidRDefault="001C13B8" w:rsidP="001C13B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val="pt-PT" w:eastAsia="pt-PT"/>
        </w:rPr>
      </w:pPr>
      <w:r w:rsidRPr="001C13B8">
        <w:rPr>
          <w:rFonts w:eastAsia="Times New Roman" w:cs="Times New Roman"/>
          <w:b/>
          <w:bCs/>
          <w:sz w:val="36"/>
          <w:szCs w:val="36"/>
          <w:lang w:val="pt-PT" w:eastAsia="pt-PT"/>
        </w:rPr>
        <w:t>1) Foco do artigo</w:t>
      </w:r>
    </w:p>
    <w:p w14:paraId="702FBD93" w14:textId="77777777" w:rsidR="001C13B8" w:rsidRPr="001C13B8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eastAsia="Times New Roman" w:cs="Times New Roman"/>
          <w:sz w:val="24"/>
          <w:szCs w:val="24"/>
          <w:lang w:val="pt-PT" w:eastAsia="pt-PT"/>
        </w:rPr>
        <w:lastRenderedPageBreak/>
        <w:t xml:space="preserve">O artigo apresenta </w:t>
      </w: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um framework completo, formal e quantitativo para avaliação da resiliência de sistemas elétricos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>, com ênfase explícita em:</w:t>
      </w:r>
    </w:p>
    <w:p w14:paraId="728895C7" w14:textId="77777777" w:rsidR="001C13B8" w:rsidRPr="004F595A" w:rsidRDefault="001C13B8" w:rsidP="001C13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redes de transmissão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7CE6EA5A" w14:textId="77777777" w:rsidR="001C13B8" w:rsidRPr="001C13B8" w:rsidRDefault="001C13B8" w:rsidP="001C13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eventos climáticos extremos (especialmente tempestades severas de vento)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>;</w:t>
      </w:r>
    </w:p>
    <w:p w14:paraId="41B970A9" w14:textId="77777777" w:rsidR="001C13B8" w:rsidRPr="001C13B8" w:rsidRDefault="001C13B8" w:rsidP="001C13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separação clara entre resiliência da infraestrutura e resiliência operacional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>;</w:t>
      </w:r>
    </w:p>
    <w:p w14:paraId="0223E7E1" w14:textId="77777777" w:rsidR="001C13B8" w:rsidRPr="001C13B8" w:rsidRDefault="001C13B8" w:rsidP="001C13B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avaliação comparativa de estratégias de hardening e estratégias operacionais inteligentes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>.</w:t>
      </w:r>
    </w:p>
    <w:p w14:paraId="3683461B" w14:textId="77777777" w:rsidR="001C13B8" w:rsidRPr="001C13B8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ascii="Segoe UI Symbol" w:eastAsia="Times New Roman" w:hAnsi="Segoe UI Symbol" w:cs="Segoe UI Symbol"/>
          <w:sz w:val="24"/>
          <w:szCs w:val="24"/>
          <w:lang w:val="pt-PT" w:eastAsia="pt-PT"/>
        </w:rPr>
        <w:t>➡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 É um </w:t>
      </w: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artigo-síntese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>, que consolida e operacionaliza conceitos apresentados separadamente em outros trabalhos do mesmo grupo.</w:t>
      </w:r>
    </w:p>
    <w:p w14:paraId="65254975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74F1C3B8">
          <v:rect id="_x0000_i1025" style="width:0;height:1.5pt" o:hralign="center" o:hrstd="t" o:hr="t" fillcolor="#a0a0a0" stroked="f"/>
        </w:pict>
      </w:r>
    </w:p>
    <w:p w14:paraId="62800191" w14:textId="77777777" w:rsidR="001C13B8" w:rsidRPr="001C13B8" w:rsidRDefault="001C13B8" w:rsidP="001C13B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val="pt-PT" w:eastAsia="pt-PT"/>
        </w:rPr>
      </w:pPr>
      <w:r w:rsidRPr="001C13B8">
        <w:rPr>
          <w:rFonts w:eastAsia="Times New Roman" w:cs="Times New Roman"/>
          <w:b/>
          <w:bCs/>
          <w:sz w:val="36"/>
          <w:szCs w:val="36"/>
          <w:lang w:val="pt-PT" w:eastAsia="pt-PT"/>
        </w:rPr>
        <w:t>2) Contribuições principais (valor científico máximo)</w:t>
      </w:r>
    </w:p>
    <w:p w14:paraId="63C8FF60" w14:textId="77777777" w:rsidR="001C13B8" w:rsidRPr="001C13B8" w:rsidRDefault="001C13B8" w:rsidP="001C13B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val="pt-PT" w:eastAsia="pt-PT"/>
        </w:rPr>
      </w:pPr>
      <w:r w:rsidRPr="001C13B8">
        <w:rPr>
          <w:rFonts w:eastAsia="Times New Roman" w:cs="Times New Roman"/>
          <w:b/>
          <w:bCs/>
          <w:sz w:val="27"/>
          <w:szCs w:val="27"/>
          <w:lang w:val="pt-PT" w:eastAsia="pt-PT"/>
        </w:rPr>
        <w:t>2.1 Consolidação definitiva do Resilience Trapezoid</w:t>
      </w:r>
    </w:p>
    <w:p w14:paraId="30F9EEB3" w14:textId="77777777" w:rsidR="001C13B8" w:rsidRPr="001C13B8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O artigo estabelece o </w:t>
      </w: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resilience trapezoid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 como modelo superior ao tradicional </w:t>
      </w:r>
      <w:r w:rsidRPr="001C13B8">
        <w:rPr>
          <w:rFonts w:eastAsia="Times New Roman" w:cs="Times New Roman"/>
          <w:i/>
          <w:iCs/>
          <w:sz w:val="24"/>
          <w:szCs w:val="24"/>
          <w:lang w:val="pt-PT" w:eastAsia="pt-PT"/>
        </w:rPr>
        <w:t>resilience triangle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>, ao:</w:t>
      </w:r>
    </w:p>
    <w:p w14:paraId="7F472749" w14:textId="77777777" w:rsidR="001C13B8" w:rsidRPr="001C13B8" w:rsidRDefault="001C13B8" w:rsidP="001C13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capturar a </w:t>
      </w: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progressão temporal do evento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 (Phase I – disturbance progress);</w:t>
      </w:r>
    </w:p>
    <w:p w14:paraId="67BB08B0" w14:textId="77777777" w:rsidR="001C13B8" w:rsidRPr="001C13B8" w:rsidRDefault="001C13B8" w:rsidP="001C13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representar explicitamente o </w:t>
      </w: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estado degradado pós-evento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 (Phase II);</w:t>
      </w:r>
    </w:p>
    <w:p w14:paraId="0D493ACE" w14:textId="77777777" w:rsidR="001C13B8" w:rsidRPr="001C13B8" w:rsidRDefault="001C13B8" w:rsidP="001C13B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pt-PT" w:eastAsia="pt-PT"/>
        </w:rPr>
      </w:pP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separar claramente </w:t>
      </w: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recuperação operacional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 e </w:t>
      </w: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recuperação física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 (Phase III).</w:t>
      </w:r>
    </w:p>
    <w:p w14:paraId="4D61B5C5" w14:textId="77777777" w:rsidR="001C13B8" w:rsidRPr="001C13B8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val="pt-PT" w:eastAsia="pt-PT"/>
        </w:rPr>
      </w:pPr>
      <w:r w:rsidRPr="004F595A">
        <w:rPr>
          <w:rFonts w:ascii="Segoe UI Emoji" w:eastAsia="Times New Roman" w:hAnsi="Segoe UI Emoji" w:cs="Segoe UI Emoji"/>
          <w:sz w:val="24"/>
          <w:szCs w:val="24"/>
          <w:lang w:eastAsia="pt-PT"/>
        </w:rPr>
        <w:t>📌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 </w:t>
      </w:r>
      <w:r w:rsidRPr="001C13B8">
        <w:rPr>
          <w:rFonts w:eastAsia="Times New Roman" w:cs="Times New Roman"/>
          <w:b/>
          <w:bCs/>
          <w:sz w:val="24"/>
          <w:szCs w:val="24"/>
          <w:lang w:val="pt-PT" w:eastAsia="pt-PT"/>
        </w:rPr>
        <w:t>Tabela II e Figuras 1–2</w:t>
      </w:r>
      <w:r w:rsidRPr="001C13B8">
        <w:rPr>
          <w:rFonts w:eastAsia="Times New Roman" w:cs="Times New Roman"/>
          <w:sz w:val="24"/>
          <w:szCs w:val="24"/>
          <w:lang w:val="pt-PT" w:eastAsia="pt-PT"/>
        </w:rPr>
        <w:t xml:space="preserve"> mostram, de forma inequívoca, as limitações do triângulo clássico e a superioridade do trapezoide.</w:t>
      </w:r>
    </w:p>
    <w:p w14:paraId="3887249A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Este modelo é hoje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referência obrigatória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em resiliência elétrica.</w:t>
      </w:r>
    </w:p>
    <w:p w14:paraId="33940036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79EE67DF">
          <v:rect id="_x0000_i1026" style="width:0;height:1.5pt" o:hralign="center" o:hrstd="t" o:hr="t" fillcolor="#a0a0a0" stroked="f"/>
        </w:pict>
      </w:r>
    </w:p>
    <w:p w14:paraId="4FD8F068" w14:textId="77777777" w:rsidR="001C13B8" w:rsidRPr="004F595A" w:rsidRDefault="001C13B8" w:rsidP="001C13B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4F595A">
        <w:rPr>
          <w:rFonts w:eastAsia="Times New Roman" w:cs="Times New Roman"/>
          <w:b/>
          <w:bCs/>
          <w:sz w:val="27"/>
          <w:szCs w:val="27"/>
          <w:lang w:eastAsia="pt-PT"/>
        </w:rPr>
        <w:t>2.2 Sistema de métricas Φ–Λ–E–Π (núcleo metodológico)</w:t>
      </w:r>
    </w:p>
    <w:p w14:paraId="508BA8FC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O artigo formaliza o sistema de métricas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ΦΛEΠ</w:t>
      </w:r>
      <w:r w:rsidRPr="004F595A">
        <w:rPr>
          <w:rFonts w:eastAsia="Times New Roman" w:cs="Times New Roman"/>
          <w:sz w:val="24"/>
          <w:szCs w:val="24"/>
          <w:lang w:eastAsia="pt-PT"/>
        </w:rPr>
        <w:t>, que quantifica cada fase do trapezoide: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8"/>
        <w:gridCol w:w="3940"/>
      </w:tblGrid>
      <w:tr w:rsidR="001C13B8" w:rsidRPr="004F595A" w14:paraId="1DEBBB0E" w14:textId="77777777" w:rsidTr="00804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DEB845" w14:textId="77777777" w:rsidR="001C13B8" w:rsidRPr="004F595A" w:rsidRDefault="001C13B8" w:rsidP="008041A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Métrica</w:t>
            </w:r>
          </w:p>
        </w:tc>
        <w:tc>
          <w:tcPr>
            <w:tcW w:w="0" w:type="auto"/>
            <w:vAlign w:val="center"/>
            <w:hideMark/>
          </w:tcPr>
          <w:p w14:paraId="334FF80C" w14:textId="77777777" w:rsidR="001C13B8" w:rsidRPr="004F595A" w:rsidRDefault="001C13B8" w:rsidP="008041A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Interpretação física</w:t>
            </w:r>
          </w:p>
        </w:tc>
      </w:tr>
      <w:tr w:rsidR="001C13B8" w:rsidRPr="004F595A" w14:paraId="35E3A228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3C1A1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Φ</w:t>
            </w:r>
          </w:p>
        </w:tc>
        <w:tc>
          <w:tcPr>
            <w:tcW w:w="0" w:type="auto"/>
            <w:vAlign w:val="center"/>
            <w:hideMark/>
          </w:tcPr>
          <w:p w14:paraId="2ED82A83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Velocidade de degradação da resiliência</w:t>
            </w:r>
          </w:p>
        </w:tc>
      </w:tr>
      <w:tr w:rsidR="001C13B8" w:rsidRPr="004F595A" w14:paraId="68C5D504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D0A5B4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Λ</w:t>
            </w:r>
          </w:p>
        </w:tc>
        <w:tc>
          <w:tcPr>
            <w:tcW w:w="0" w:type="auto"/>
            <w:vAlign w:val="center"/>
            <w:hideMark/>
          </w:tcPr>
          <w:p w14:paraId="7771EE09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Profundidade máxima da degradação</w:t>
            </w:r>
          </w:p>
        </w:tc>
      </w:tr>
      <w:tr w:rsidR="001C13B8" w:rsidRPr="004F595A" w14:paraId="7B3169DB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9DD23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E</w:t>
            </w:r>
          </w:p>
        </w:tc>
        <w:tc>
          <w:tcPr>
            <w:tcW w:w="0" w:type="auto"/>
            <w:vAlign w:val="center"/>
            <w:hideMark/>
          </w:tcPr>
          <w:p w14:paraId="2BF543A9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Duração do estado degradado</w:t>
            </w:r>
          </w:p>
        </w:tc>
      </w:tr>
      <w:tr w:rsidR="001C13B8" w:rsidRPr="004F595A" w14:paraId="31FF2924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B6F0FE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lastRenderedPageBreak/>
              <w:t>Π</w:t>
            </w:r>
          </w:p>
        </w:tc>
        <w:tc>
          <w:tcPr>
            <w:tcW w:w="0" w:type="auto"/>
            <w:vAlign w:val="center"/>
            <w:hideMark/>
          </w:tcPr>
          <w:p w14:paraId="5248129E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Velocidade de recuperação</w:t>
            </w:r>
          </w:p>
        </w:tc>
      </w:tr>
    </w:tbl>
    <w:p w14:paraId="24DA1994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Além disso, define a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área do trapezoide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como métrica agregada de resiliência.</w:t>
      </w:r>
    </w:p>
    <w:p w14:paraId="5E1411E3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Esta estrutura é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uma das mais completas já publicadas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 totalmente alinhada com a sua tese.</w:t>
      </w:r>
    </w:p>
    <w:p w14:paraId="42FF2A79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4A13C3EE">
          <v:rect id="_x0000_i1027" style="width:0;height:1.5pt" o:hralign="center" o:hrstd="t" o:hr="t" fillcolor="#a0a0a0" stroked="f"/>
        </w:pict>
      </w:r>
    </w:p>
    <w:p w14:paraId="520D4B35" w14:textId="77777777" w:rsidR="001C13B8" w:rsidRPr="004F595A" w:rsidRDefault="001C13B8" w:rsidP="001C13B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4F595A">
        <w:rPr>
          <w:rFonts w:eastAsia="Times New Roman" w:cs="Times New Roman"/>
          <w:b/>
          <w:bCs/>
          <w:sz w:val="27"/>
          <w:szCs w:val="27"/>
          <w:lang w:eastAsia="pt-PT"/>
        </w:rPr>
        <w:t>2.3 Uso explícito de curvas de fragilidade para linhas e torres</w:t>
      </w:r>
    </w:p>
    <w:p w14:paraId="630B15A1" w14:textId="77777777" w:rsidR="001C13B8" w:rsidRPr="004F595A" w:rsidRDefault="001C13B8" w:rsidP="001C13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Aplica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curvas de fragilidade dependentes do vento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para:</w:t>
      </w:r>
    </w:p>
    <w:p w14:paraId="3B49B87A" w14:textId="77777777" w:rsidR="001C13B8" w:rsidRPr="004F595A" w:rsidRDefault="001C13B8" w:rsidP="001C13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linhas aéreas de transmissão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1636E4E2" w14:textId="77777777" w:rsidR="001C13B8" w:rsidRPr="004F595A" w:rsidRDefault="001C13B8" w:rsidP="001C13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torres de transmissão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52F76D4B" w14:textId="77777777" w:rsidR="001C13B8" w:rsidRPr="004F595A" w:rsidRDefault="001C13B8" w:rsidP="001C13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Integra essas curvas a um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Sequential Monte Carlo Simulation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com passo horário;</w:t>
      </w:r>
    </w:p>
    <w:p w14:paraId="7928C31D" w14:textId="77777777" w:rsidR="001C13B8" w:rsidRPr="004F595A" w:rsidRDefault="001C13B8" w:rsidP="001C13B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Considera:</w:t>
      </w:r>
    </w:p>
    <w:p w14:paraId="2BD22CD1" w14:textId="77777777" w:rsidR="001C13B8" w:rsidRPr="004F595A" w:rsidRDefault="001C13B8" w:rsidP="001C13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falhas simples;</w:t>
      </w:r>
    </w:p>
    <w:p w14:paraId="390E1C60" w14:textId="77777777" w:rsidR="001C13B8" w:rsidRPr="004F595A" w:rsidRDefault="001C13B8" w:rsidP="001C13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falhas de causa comum;</w:t>
      </w:r>
    </w:p>
    <w:p w14:paraId="6D636F88" w14:textId="77777777" w:rsidR="001C13B8" w:rsidRPr="004F595A" w:rsidRDefault="001C13B8" w:rsidP="001C13B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aumento do MTTR com a severidade do evento.</w:t>
      </w:r>
    </w:p>
    <w:p w14:paraId="1ABA9A63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Emoji" w:eastAsia="Times New Roman" w:hAnsi="Segoe UI Emoji" w:cs="Segoe UI Emoji"/>
          <w:sz w:val="24"/>
          <w:szCs w:val="24"/>
          <w:lang w:eastAsia="pt-PT"/>
        </w:rPr>
        <w:t>📌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Fig. 4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apresenta claramente as curvas de fragilidade (caso base e caso robusto).</w:t>
      </w:r>
    </w:p>
    <w:p w14:paraId="03C183B0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Conexão direta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clima → falha → indisponibilidade</w:t>
      </w:r>
      <w:r w:rsidRPr="004F595A">
        <w:rPr>
          <w:rFonts w:eastAsia="Times New Roman" w:cs="Times New Roman"/>
          <w:sz w:val="24"/>
          <w:szCs w:val="24"/>
          <w:lang w:eastAsia="pt-PT"/>
        </w:rPr>
        <w:t>, essencial para o seu trabalho.</w:t>
      </w:r>
    </w:p>
    <w:p w14:paraId="31E5A17F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73506D48">
          <v:rect id="_x0000_i1028" style="width:0;height:1.5pt" o:hralign="center" o:hrstd="t" o:hr="t" fillcolor="#a0a0a0" stroked="f"/>
        </w:pict>
      </w:r>
    </w:p>
    <w:p w14:paraId="51716592" w14:textId="77777777" w:rsidR="001C13B8" w:rsidRPr="004F595A" w:rsidRDefault="001C13B8" w:rsidP="001C13B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4F595A">
        <w:rPr>
          <w:rFonts w:eastAsia="Times New Roman" w:cs="Times New Roman"/>
          <w:b/>
          <w:bCs/>
          <w:sz w:val="27"/>
          <w:szCs w:val="27"/>
          <w:lang w:eastAsia="pt-PT"/>
        </w:rPr>
        <w:t>2.4 Avaliação quantitativa de hardening vs. estratégias operacionais</w:t>
      </w:r>
    </w:p>
    <w:p w14:paraId="0652631E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O artigo compara, de forma objetiva:</w:t>
      </w:r>
    </w:p>
    <w:p w14:paraId="21B1178B" w14:textId="77777777" w:rsidR="001C13B8" w:rsidRPr="004F595A" w:rsidRDefault="001C13B8" w:rsidP="001C13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Hardening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(robustez estrutural):</w:t>
      </w:r>
    </w:p>
    <w:p w14:paraId="21E0F854" w14:textId="77777777" w:rsidR="001C13B8" w:rsidRPr="004F595A" w:rsidRDefault="001C13B8" w:rsidP="001C13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desloca as curvas de fragilidade;</w:t>
      </w:r>
    </w:p>
    <w:p w14:paraId="4EA37745" w14:textId="77777777" w:rsidR="001C13B8" w:rsidRPr="004F595A" w:rsidRDefault="001C13B8" w:rsidP="001C13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reduz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Φ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Λ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70237A37" w14:textId="77777777" w:rsidR="001C13B8" w:rsidRPr="004F595A" w:rsidRDefault="001C13B8" w:rsidP="001C13B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Smart/operational strategies</w:t>
      </w:r>
      <w:r w:rsidRPr="004F595A">
        <w:rPr>
          <w:rFonts w:eastAsia="Times New Roman" w:cs="Times New Roman"/>
          <w:sz w:val="24"/>
          <w:szCs w:val="24"/>
          <w:lang w:eastAsia="pt-PT"/>
        </w:rPr>
        <w:t>:</w:t>
      </w:r>
    </w:p>
    <w:p w14:paraId="1C147C41" w14:textId="77777777" w:rsidR="001C13B8" w:rsidRPr="004F595A" w:rsidRDefault="001C13B8" w:rsidP="001C13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reduzem MTTR;</w:t>
      </w:r>
    </w:p>
    <w:p w14:paraId="58EF8F38" w14:textId="77777777" w:rsidR="001C13B8" w:rsidRPr="004F595A" w:rsidRDefault="001C13B8" w:rsidP="001C13B8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impactam fortemente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E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Π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79564DBA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Emoji" w:eastAsia="Times New Roman" w:hAnsi="Segoe UI Emoji" w:cs="Segoe UI Emoji"/>
          <w:sz w:val="24"/>
          <w:szCs w:val="24"/>
          <w:lang w:eastAsia="pt-PT"/>
        </w:rPr>
        <w:t>📌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Tabela V e Figuras 7–8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mostram, numericamente, como cada estratégia altera o formato do trapezoide.</w:t>
      </w:r>
    </w:p>
    <w:p w14:paraId="7EF0D878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Symbol" w:eastAsia="Times New Roman" w:hAnsi="Segoe UI Symbol" w:cs="Segoe UI Symbol"/>
          <w:sz w:val="24"/>
          <w:szCs w:val="24"/>
          <w:lang w:eastAsia="pt-PT"/>
        </w:rPr>
        <w:lastRenderedPageBreak/>
        <w:t>➡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Demonstra, com dados, que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hardening é mais eficaz sob eventos extremos severos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, mas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estratégias operacionais são cruciais para recuperação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78AD7631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6F7D4B9B">
          <v:rect id="_x0000_i1029" style="width:0;height:1.5pt" o:hralign="center" o:hrstd="t" o:hr="t" fillcolor="#a0a0a0" stroked="f"/>
        </w:pict>
      </w:r>
    </w:p>
    <w:p w14:paraId="319C26B8" w14:textId="77777777" w:rsidR="001C13B8" w:rsidRPr="004F595A" w:rsidRDefault="001C13B8" w:rsidP="001C13B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4F595A">
        <w:rPr>
          <w:rFonts w:eastAsia="Times New Roman" w:cs="Times New Roman"/>
          <w:b/>
          <w:bCs/>
          <w:sz w:val="27"/>
          <w:szCs w:val="27"/>
          <w:lang w:eastAsia="pt-PT"/>
        </w:rPr>
        <w:t>2.5 Introdução do índice RAW – Resilience Achievement Worth</w:t>
      </w:r>
    </w:p>
    <w:p w14:paraId="4E86307E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O artigo propõe o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RAW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como ferramenta de priorização:</w:t>
      </w:r>
    </w:p>
    <w:p w14:paraId="0CFF2ED6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m:oMathPara>
        <m:oMath>
          <m:r>
            <w:rPr>
              <w:rFonts w:ascii="Cambria Math" w:eastAsia="Times New Roman" w:hAnsi="Cambria Math" w:cs="Times New Roman"/>
              <w:sz w:val="24"/>
              <w:szCs w:val="24"/>
              <w:lang w:eastAsia="pt-PT"/>
            </w:rPr>
            <m:t>RA</m:t>
          </m:r>
          <m:sSub>
            <m:sSub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  <m:t>W</m:t>
              </m:r>
            </m:e>
            <m: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sz w:val="24"/>
              <w:szCs w:val="24"/>
              <w:lang w:eastAsia="pt-PT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  <m:t>R-R(</m:t>
              </m:r>
              <m:sSub>
                <m:sSubPr>
                  <m:ctrlP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R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sz w:val="24"/>
                      <w:szCs w:val="24"/>
                      <w:lang w:eastAsia="pt-PT"/>
                    </w:rPr>
                    <m:t>n</m:t>
                  </m:r>
                </m:sub>
              </m:sSub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  <m:t>=1)</m:t>
              </m:r>
            </m:num>
            <m:den>
              <m:r>
                <w:rPr>
                  <w:rFonts w:ascii="Cambria Math" w:eastAsia="Times New Roman" w:hAnsi="Cambria Math" w:cs="Times New Roman"/>
                  <w:sz w:val="24"/>
                  <w:szCs w:val="24"/>
                  <w:lang w:eastAsia="pt-PT"/>
                </w:rPr>
                <m:t>R</m:t>
              </m:r>
            </m:den>
          </m:f>
          <m:r>
            <w:rPr>
              <w:rFonts w:ascii="Cambria Math" w:eastAsia="Times New Roman" w:hAnsi="Cambria Math" w:cs="Times New Roman"/>
              <w:sz w:val="24"/>
              <w:szCs w:val="24"/>
              <w:lang w:eastAsia="pt-PT"/>
            </w:rPr>
            <m:t>×100</m:t>
          </m:r>
          <m:r>
            <w:rPr>
              <w:rFonts w:ascii="Cambria Math" w:eastAsia="Times New Roman" w:hAnsi="Cambria Math" w:cs="Times New Roman"/>
              <w:sz w:val="24"/>
              <w:szCs w:val="24"/>
              <w:lang w:eastAsia="pt-PT"/>
            </w:rPr>
            <w:br/>
          </m:r>
        </m:oMath>
      </m:oMathPara>
    </w:p>
    <w:p w14:paraId="34B49226" w14:textId="77777777" w:rsidR="001C13B8" w:rsidRPr="004F595A" w:rsidRDefault="001C13B8" w:rsidP="001C13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Quantifica a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importância marginal de cada corredor de transmissão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0E577D72" w14:textId="77777777" w:rsidR="001C13B8" w:rsidRPr="004F595A" w:rsidRDefault="001C13B8" w:rsidP="001C13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Depende da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intensidade do evento climático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4D743663" w14:textId="77777777" w:rsidR="001C13B8" w:rsidRPr="004F595A" w:rsidRDefault="001C13B8" w:rsidP="001C13B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Permite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planejamento de investimentos baseado em risco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7E5741BD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Emoji" w:eastAsia="Times New Roman" w:hAnsi="Segoe UI Emoji" w:cs="Segoe UI Emoji"/>
          <w:sz w:val="24"/>
          <w:szCs w:val="24"/>
          <w:lang w:eastAsia="pt-PT"/>
        </w:rPr>
        <w:t>📌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Fig. 9 e Fig. 10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mostram claramente a priorização de linhas críticas.</w:t>
      </w:r>
    </w:p>
    <w:p w14:paraId="7481DE54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Extremamente relevante para justificar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índices aplicáveis à decisão regulatória e de planejamento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353B214C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34CA5B3E">
          <v:rect id="_x0000_i1030" style="width:0;height:1.5pt" o:hralign="center" o:hrstd="t" o:hr="t" fillcolor="#a0a0a0" stroked="f"/>
        </w:pict>
      </w:r>
    </w:p>
    <w:p w14:paraId="38791FED" w14:textId="77777777" w:rsidR="001C13B8" w:rsidRPr="004F595A" w:rsidRDefault="001C13B8" w:rsidP="001C13B8">
      <w:pPr>
        <w:spacing w:before="100" w:beforeAutospacing="1" w:after="100" w:afterAutospacing="1"/>
        <w:outlineLvl w:val="2"/>
        <w:rPr>
          <w:rFonts w:eastAsia="Times New Roman" w:cs="Times New Roman"/>
          <w:b/>
          <w:bCs/>
          <w:sz w:val="27"/>
          <w:szCs w:val="27"/>
          <w:lang w:eastAsia="pt-PT"/>
        </w:rPr>
      </w:pPr>
      <w:r w:rsidRPr="004F595A">
        <w:rPr>
          <w:rFonts w:eastAsia="Times New Roman" w:cs="Times New Roman"/>
          <w:b/>
          <w:bCs/>
          <w:sz w:val="27"/>
          <w:szCs w:val="27"/>
          <w:lang w:eastAsia="pt-PT"/>
        </w:rPr>
        <w:t>2.6 Integração com medidas avançadas (defensive islanding)</w:t>
      </w:r>
    </w:p>
    <w:p w14:paraId="19CA8D3C" w14:textId="77777777" w:rsidR="001C13B8" w:rsidRPr="004F595A" w:rsidRDefault="001C13B8" w:rsidP="001C13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Introduz o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Severity Risk Index (SRI)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para suportar decisões de ilhamento defensivo;</w:t>
      </w:r>
    </w:p>
    <w:p w14:paraId="0A98EAE0" w14:textId="77777777" w:rsidR="001C13B8" w:rsidRPr="004F595A" w:rsidRDefault="001C13B8" w:rsidP="001C13B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Mostra que:</w:t>
      </w:r>
    </w:p>
    <w:p w14:paraId="27775012" w14:textId="77777777" w:rsidR="001C13B8" w:rsidRPr="004F595A" w:rsidRDefault="001C13B8" w:rsidP="001C13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o ilhamento pode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ajudar durante a progressão do evento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27477AF6" w14:textId="77777777" w:rsidR="001C13B8" w:rsidRPr="004F595A" w:rsidRDefault="001C13B8" w:rsidP="001C13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mas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não melhora a resiliência física pós-evento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7C450096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Reforça a distinção clara entre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mitigação operacional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resiliência estrutural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7E3476CB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521B1C95">
          <v:rect id="_x0000_i1031" style="width:0;height:1.5pt" o:hralign="center" o:hrstd="t" o:hr="t" fillcolor="#a0a0a0" stroked="f"/>
        </w:pict>
      </w:r>
    </w:p>
    <w:p w14:paraId="3DBE5723" w14:textId="77777777" w:rsidR="001C13B8" w:rsidRPr="004F595A" w:rsidRDefault="001C13B8" w:rsidP="001C13B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pt-PT"/>
        </w:rPr>
      </w:pPr>
      <w:r w:rsidRPr="004F595A">
        <w:rPr>
          <w:rFonts w:eastAsia="Times New Roman" w:cs="Times New Roman"/>
          <w:b/>
          <w:bCs/>
          <w:sz w:val="36"/>
          <w:szCs w:val="36"/>
          <w:lang w:eastAsia="pt-PT"/>
        </w:rPr>
        <w:t>3) Metodologia</w:t>
      </w:r>
    </w:p>
    <w:p w14:paraId="4A21AA43" w14:textId="77777777" w:rsidR="001C13B8" w:rsidRPr="004F595A" w:rsidRDefault="001C13B8" w:rsidP="001C13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Modelagem probabilística espaço-temporal;</w:t>
      </w:r>
    </w:p>
    <w:p w14:paraId="088DB04C" w14:textId="77777777" w:rsidR="001C13B8" w:rsidRPr="004F595A" w:rsidRDefault="001C13B8" w:rsidP="001C13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Fragilidade climática + SMCS;</w:t>
      </w:r>
    </w:p>
    <w:p w14:paraId="3EB112ED" w14:textId="77777777" w:rsidR="001C13B8" w:rsidRPr="004F595A" w:rsidRDefault="001C13B8" w:rsidP="001C13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Indicadores físicos e operacionais;</w:t>
      </w:r>
    </w:p>
    <w:p w14:paraId="2A2FD43B" w14:textId="77777777" w:rsidR="001C13B8" w:rsidRPr="004F595A" w:rsidRDefault="001C13B8" w:rsidP="001C13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Caso de estudo realista: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rede GB de 29 barras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07EDB5E0" w14:textId="77777777" w:rsidR="001C13B8" w:rsidRPr="004F595A" w:rsidRDefault="001C13B8" w:rsidP="001C13B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Abordagem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reprodutível, extensível e cientificamente madura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45670F11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lastRenderedPageBreak/>
        <w:pict w14:anchorId="75246FC5">
          <v:rect id="_x0000_i1032" style="width:0;height:1.5pt" o:hralign="center" o:hrstd="t" o:hr="t" fillcolor="#a0a0a0" stroked="f"/>
        </w:pict>
      </w:r>
    </w:p>
    <w:p w14:paraId="1DB9DDF6" w14:textId="77777777" w:rsidR="001C13B8" w:rsidRPr="004F595A" w:rsidRDefault="001C13B8" w:rsidP="001C13B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pt-PT"/>
        </w:rPr>
      </w:pPr>
      <w:r w:rsidRPr="004F595A">
        <w:rPr>
          <w:rFonts w:eastAsia="Times New Roman" w:cs="Times New Roman"/>
          <w:b/>
          <w:bCs/>
          <w:sz w:val="36"/>
          <w:szCs w:val="36"/>
          <w:lang w:eastAsia="pt-PT"/>
        </w:rPr>
        <w:t>4) Aderência ao tema da sua tese</w:t>
      </w:r>
    </w:p>
    <w:p w14:paraId="7E84F796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Tema: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4F595A">
        <w:rPr>
          <w:rFonts w:eastAsia="Times New Roman" w:cs="Times New Roman"/>
          <w:i/>
          <w:iCs/>
          <w:sz w:val="24"/>
          <w:szCs w:val="24"/>
          <w:lang w:eastAsia="pt-PT"/>
        </w:rPr>
        <w:t>Resiliência das Linhas de Transmissão de Energia Elétrica frente a eventos extremos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1718"/>
      </w:tblGrid>
      <w:tr w:rsidR="001C13B8" w:rsidRPr="004F595A" w14:paraId="63597D30" w14:textId="77777777" w:rsidTr="008041A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1B31CC" w14:textId="77777777" w:rsidR="001C13B8" w:rsidRPr="004F595A" w:rsidRDefault="001C13B8" w:rsidP="008041A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Critério</w:t>
            </w:r>
          </w:p>
        </w:tc>
        <w:tc>
          <w:tcPr>
            <w:tcW w:w="0" w:type="auto"/>
            <w:vAlign w:val="center"/>
            <w:hideMark/>
          </w:tcPr>
          <w:p w14:paraId="04524624" w14:textId="77777777" w:rsidR="001C13B8" w:rsidRPr="004F595A" w:rsidRDefault="001C13B8" w:rsidP="008041AE">
            <w:pPr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b/>
                <w:bCs/>
                <w:sz w:val="24"/>
                <w:szCs w:val="24"/>
                <w:lang w:eastAsia="pt-PT"/>
              </w:rPr>
              <w:t>Avaliação</w:t>
            </w:r>
          </w:p>
        </w:tc>
      </w:tr>
      <w:tr w:rsidR="001C13B8" w:rsidRPr="004F595A" w14:paraId="2AD2A308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24776C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Linhas de transmissão</w:t>
            </w:r>
          </w:p>
        </w:tc>
        <w:tc>
          <w:tcPr>
            <w:tcW w:w="0" w:type="auto"/>
            <w:vAlign w:val="center"/>
            <w:hideMark/>
          </w:tcPr>
          <w:p w14:paraId="41065409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 xml:space="preserve"> Central</w:t>
            </w:r>
          </w:p>
        </w:tc>
      </w:tr>
      <w:tr w:rsidR="001C13B8" w:rsidRPr="004F595A" w14:paraId="1388B8E2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C52180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Eventos climáticos extremos</w:t>
            </w:r>
          </w:p>
        </w:tc>
        <w:tc>
          <w:tcPr>
            <w:tcW w:w="0" w:type="auto"/>
            <w:vAlign w:val="center"/>
            <w:hideMark/>
          </w:tcPr>
          <w:p w14:paraId="3EA32329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 xml:space="preserve"> Explícitos</w:t>
            </w:r>
          </w:p>
        </w:tc>
      </w:tr>
      <w:tr w:rsidR="001C13B8" w:rsidRPr="004F595A" w14:paraId="2A4CD0DD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97989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Fragilidade física</w:t>
            </w:r>
          </w:p>
        </w:tc>
        <w:tc>
          <w:tcPr>
            <w:tcW w:w="0" w:type="auto"/>
            <w:vAlign w:val="center"/>
            <w:hideMark/>
          </w:tcPr>
          <w:p w14:paraId="752868E3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 xml:space="preserve"> Forte</w:t>
            </w:r>
          </w:p>
        </w:tc>
      </w:tr>
      <w:tr w:rsidR="001C13B8" w:rsidRPr="004F595A" w14:paraId="057BC831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586A0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Clima → falha</w:t>
            </w:r>
          </w:p>
        </w:tc>
        <w:tc>
          <w:tcPr>
            <w:tcW w:w="0" w:type="auto"/>
            <w:vAlign w:val="center"/>
            <w:hideMark/>
          </w:tcPr>
          <w:p w14:paraId="693A87E2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 xml:space="preserve"> Quantificado</w:t>
            </w:r>
          </w:p>
        </w:tc>
      </w:tr>
      <w:tr w:rsidR="001C13B8" w:rsidRPr="004F595A" w14:paraId="01654094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BBA02B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Métricas de resiliência</w:t>
            </w:r>
          </w:p>
        </w:tc>
        <w:tc>
          <w:tcPr>
            <w:tcW w:w="0" w:type="auto"/>
            <w:vAlign w:val="center"/>
            <w:hideMark/>
          </w:tcPr>
          <w:p w14:paraId="50FC7D71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 xml:space="preserve"> Completas</w:t>
            </w:r>
          </w:p>
        </w:tc>
      </w:tr>
      <w:tr w:rsidR="001C13B8" w:rsidRPr="004F595A" w14:paraId="417AC84C" w14:textId="77777777" w:rsidTr="008041A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6B3027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>Planejamento e decisão</w:t>
            </w:r>
          </w:p>
        </w:tc>
        <w:tc>
          <w:tcPr>
            <w:tcW w:w="0" w:type="auto"/>
            <w:vAlign w:val="center"/>
            <w:hideMark/>
          </w:tcPr>
          <w:p w14:paraId="3F231F76" w14:textId="77777777" w:rsidR="001C13B8" w:rsidRPr="004F595A" w:rsidRDefault="001C13B8" w:rsidP="008041AE">
            <w:pPr>
              <w:rPr>
                <w:rFonts w:eastAsia="Times New Roman" w:cs="Times New Roman"/>
                <w:sz w:val="24"/>
                <w:szCs w:val="24"/>
                <w:lang w:eastAsia="pt-PT"/>
              </w:rPr>
            </w:pPr>
            <w:r w:rsidRPr="004F595A">
              <w:rPr>
                <w:rFonts w:ascii="Segoe UI Emoji" w:eastAsia="Times New Roman" w:hAnsi="Segoe UI Emoji" w:cs="Segoe UI Emoji"/>
                <w:sz w:val="24"/>
                <w:szCs w:val="24"/>
                <w:lang w:eastAsia="pt-PT"/>
              </w:rPr>
              <w:t>✅</w:t>
            </w:r>
            <w:r w:rsidRPr="004F595A">
              <w:rPr>
                <w:rFonts w:eastAsia="Times New Roman" w:cs="Times New Roman"/>
                <w:sz w:val="24"/>
                <w:szCs w:val="24"/>
                <w:lang w:eastAsia="pt-PT"/>
              </w:rPr>
              <w:t xml:space="preserve"> Aplicável</w:t>
            </w:r>
          </w:p>
        </w:tc>
      </w:tr>
    </w:tbl>
    <w:p w14:paraId="1E62E646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Aderência total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5328DD07" w14:textId="77777777" w:rsidR="001C13B8" w:rsidRPr="004F595A" w:rsidRDefault="001C13B8" w:rsidP="001C13B8">
      <w:pPr>
        <w:rPr>
          <w:rFonts w:eastAsia="Times New Roman" w:cs="Times New Roman"/>
          <w:sz w:val="24"/>
          <w:szCs w:val="24"/>
          <w:lang w:eastAsia="pt-PT"/>
        </w:rPr>
      </w:pPr>
      <w:r>
        <w:rPr>
          <w:rFonts w:eastAsia="Times New Roman" w:cs="Times New Roman"/>
          <w:sz w:val="24"/>
          <w:szCs w:val="24"/>
          <w:lang w:eastAsia="pt-PT"/>
        </w:rPr>
        <w:pict w14:anchorId="11E0CB23">
          <v:rect id="_x0000_i1033" style="width:0;height:1.5pt" o:hralign="center" o:hrstd="t" o:hr="t" fillcolor="#a0a0a0" stroked="f"/>
        </w:pict>
      </w:r>
    </w:p>
    <w:p w14:paraId="61B427F6" w14:textId="77777777" w:rsidR="001C13B8" w:rsidRPr="004F595A" w:rsidRDefault="001C13B8" w:rsidP="001C13B8">
      <w:pPr>
        <w:spacing w:before="100" w:beforeAutospacing="1" w:after="100" w:afterAutospacing="1"/>
        <w:outlineLvl w:val="1"/>
        <w:rPr>
          <w:rFonts w:eastAsia="Times New Roman" w:cs="Times New Roman"/>
          <w:b/>
          <w:bCs/>
          <w:sz w:val="36"/>
          <w:szCs w:val="36"/>
          <w:lang w:eastAsia="pt-PT"/>
        </w:rPr>
      </w:pPr>
      <w:r w:rsidRPr="004F595A">
        <w:rPr>
          <w:rFonts w:eastAsia="Times New Roman" w:cs="Times New Roman"/>
          <w:b/>
          <w:bCs/>
          <w:sz w:val="36"/>
          <w:szCs w:val="36"/>
          <w:lang w:eastAsia="pt-PT"/>
        </w:rPr>
        <w:t>5) Limitações (que abrem espaço para a sua contribuição)</w:t>
      </w:r>
    </w:p>
    <w:p w14:paraId="576E0113" w14:textId="77777777" w:rsidR="001C13B8" w:rsidRPr="004F595A" w:rsidRDefault="001C13B8" w:rsidP="001C13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Framework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complexo e computacionalmente pesado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322C27A5" w14:textId="77777777" w:rsidR="001C13B8" w:rsidRPr="004F595A" w:rsidRDefault="001C13B8" w:rsidP="001C13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Forte dependência de:</w:t>
      </w:r>
    </w:p>
    <w:p w14:paraId="62F9B470" w14:textId="77777777" w:rsidR="001C13B8" w:rsidRPr="004F595A" w:rsidRDefault="001C13B8" w:rsidP="001C13B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dados climáticos horários;</w:t>
      </w:r>
    </w:p>
    <w:p w14:paraId="208C222D" w14:textId="77777777" w:rsidR="001C13B8" w:rsidRPr="004F595A" w:rsidRDefault="001C13B8" w:rsidP="001C13B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>curvas de fragilidade bem calibradas;</w:t>
      </w:r>
    </w:p>
    <w:p w14:paraId="3B07EAFF" w14:textId="77777777" w:rsidR="001C13B8" w:rsidRPr="004F595A" w:rsidRDefault="001C13B8" w:rsidP="001C13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Métricas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pouco práticas para uso rápido por TSOs menores</w:t>
      </w:r>
      <w:r w:rsidRPr="004F595A">
        <w:rPr>
          <w:rFonts w:eastAsia="Times New Roman" w:cs="Times New Roman"/>
          <w:sz w:val="24"/>
          <w:szCs w:val="24"/>
          <w:lang w:eastAsia="pt-PT"/>
        </w:rPr>
        <w:t>;</w:t>
      </w:r>
    </w:p>
    <w:p w14:paraId="39CEF986" w14:textId="77777777" w:rsidR="001C13B8" w:rsidRPr="004F595A" w:rsidRDefault="001C13B8" w:rsidP="001C13B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eastAsia="Times New Roman" w:cs="Times New Roman"/>
          <w:sz w:val="24"/>
          <w:szCs w:val="24"/>
          <w:lang w:eastAsia="pt-PT"/>
        </w:rPr>
        <w:t xml:space="preserve">Não propõe um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índice único, simples e diretamente comparável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54476F0F" w14:textId="77777777" w:rsidR="001C13B8" w:rsidRPr="004F595A" w:rsidRDefault="001C13B8" w:rsidP="001C13B8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pt-PT"/>
        </w:rPr>
      </w:pPr>
      <w:r w:rsidRPr="004F595A">
        <w:rPr>
          <w:rFonts w:ascii="Segoe UI Symbol" w:eastAsia="Times New Roman" w:hAnsi="Segoe UI Symbol" w:cs="Segoe UI Symbol"/>
          <w:sz w:val="24"/>
          <w:szCs w:val="24"/>
          <w:lang w:eastAsia="pt-PT"/>
        </w:rPr>
        <w:t>➡</w:t>
      </w:r>
      <w:r w:rsidRPr="004F595A">
        <w:rPr>
          <w:rFonts w:eastAsia="Times New Roman" w:cs="Times New Roman"/>
          <w:sz w:val="24"/>
          <w:szCs w:val="24"/>
          <w:lang w:eastAsia="pt-PT"/>
        </w:rPr>
        <w:t xml:space="preserve"> Exatamente o espaço onde </w:t>
      </w:r>
      <w:r w:rsidRPr="004F595A">
        <w:rPr>
          <w:rFonts w:eastAsia="Times New Roman" w:cs="Times New Roman"/>
          <w:b/>
          <w:bCs/>
          <w:sz w:val="24"/>
          <w:szCs w:val="24"/>
          <w:lang w:eastAsia="pt-PT"/>
        </w:rPr>
        <w:t>o seu trabalho se posiciona</w:t>
      </w:r>
      <w:r w:rsidRPr="004F595A">
        <w:rPr>
          <w:rFonts w:eastAsia="Times New Roman" w:cs="Times New Roman"/>
          <w:sz w:val="24"/>
          <w:szCs w:val="24"/>
          <w:lang w:eastAsia="pt-PT"/>
        </w:rPr>
        <w:t>.</w:t>
      </w:r>
    </w:p>
    <w:p w14:paraId="537C6312" w14:textId="77777777" w:rsidR="001C13B8" w:rsidRPr="00BE4890" w:rsidRDefault="001C13B8" w:rsidP="001C13B8">
      <w:pPr>
        <w:rPr>
          <w:lang w:val="pt-PT"/>
        </w:rPr>
      </w:pPr>
    </w:p>
    <w:p w14:paraId="67244180" w14:textId="77777777" w:rsidR="001C13B8" w:rsidRDefault="001C13B8" w:rsidP="00EF5081">
      <w:pPr>
        <w:rPr>
          <w:lang w:val="pt-BR"/>
        </w:rPr>
      </w:pPr>
    </w:p>
    <w:p w14:paraId="54DA92E4" w14:textId="77777777" w:rsidR="001C13B8" w:rsidRDefault="001C13B8" w:rsidP="00EF5081">
      <w:pPr>
        <w:rPr>
          <w:lang w:val="pt-BR"/>
        </w:rPr>
      </w:pPr>
    </w:p>
    <w:sectPr w:rsidR="001C13B8" w:rsidSect="00435A17">
      <w:pgSz w:w="11907" w:h="16840" w:code="9"/>
      <w:pgMar w:top="1440" w:right="1440" w:bottom="1077" w:left="1797" w:header="720" w:footer="119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0755B"/>
    <w:multiLevelType w:val="multilevel"/>
    <w:tmpl w:val="FBD60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6C154F1"/>
    <w:multiLevelType w:val="multilevel"/>
    <w:tmpl w:val="B3600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2929AD"/>
    <w:multiLevelType w:val="multilevel"/>
    <w:tmpl w:val="1FDA3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E6598C"/>
    <w:multiLevelType w:val="multilevel"/>
    <w:tmpl w:val="2FBA5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C6720C"/>
    <w:multiLevelType w:val="multilevel"/>
    <w:tmpl w:val="E78C9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48678FF"/>
    <w:multiLevelType w:val="multilevel"/>
    <w:tmpl w:val="5020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D435079"/>
    <w:multiLevelType w:val="multilevel"/>
    <w:tmpl w:val="14021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F250874"/>
    <w:multiLevelType w:val="multilevel"/>
    <w:tmpl w:val="F0DE2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4405499">
    <w:abstractNumId w:val="0"/>
  </w:num>
  <w:num w:numId="2" w16cid:durableId="1082336418">
    <w:abstractNumId w:val="3"/>
  </w:num>
  <w:num w:numId="3" w16cid:durableId="1460759882">
    <w:abstractNumId w:val="5"/>
  </w:num>
  <w:num w:numId="4" w16cid:durableId="496268813">
    <w:abstractNumId w:val="7"/>
  </w:num>
  <w:num w:numId="5" w16cid:durableId="366026167">
    <w:abstractNumId w:val="4"/>
  </w:num>
  <w:num w:numId="6" w16cid:durableId="1806970850">
    <w:abstractNumId w:val="2"/>
  </w:num>
  <w:num w:numId="7" w16cid:durableId="316958892">
    <w:abstractNumId w:val="1"/>
  </w:num>
  <w:num w:numId="8" w16cid:durableId="183837999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9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081"/>
    <w:rsid w:val="000131F2"/>
    <w:rsid w:val="0007293B"/>
    <w:rsid w:val="0008424C"/>
    <w:rsid w:val="00096FFB"/>
    <w:rsid w:val="000C625D"/>
    <w:rsid w:val="000D45BD"/>
    <w:rsid w:val="00115371"/>
    <w:rsid w:val="00172112"/>
    <w:rsid w:val="00172264"/>
    <w:rsid w:val="00196796"/>
    <w:rsid w:val="001C13B8"/>
    <w:rsid w:val="0024739D"/>
    <w:rsid w:val="00347332"/>
    <w:rsid w:val="00393441"/>
    <w:rsid w:val="0039444F"/>
    <w:rsid w:val="003F704C"/>
    <w:rsid w:val="004234AF"/>
    <w:rsid w:val="00423B9B"/>
    <w:rsid w:val="00435A17"/>
    <w:rsid w:val="004B5BB7"/>
    <w:rsid w:val="00502614"/>
    <w:rsid w:val="005272F0"/>
    <w:rsid w:val="00595B01"/>
    <w:rsid w:val="0061413D"/>
    <w:rsid w:val="006E78DB"/>
    <w:rsid w:val="00785F46"/>
    <w:rsid w:val="007B1727"/>
    <w:rsid w:val="007E69F0"/>
    <w:rsid w:val="00804B85"/>
    <w:rsid w:val="008226B2"/>
    <w:rsid w:val="008C0D5E"/>
    <w:rsid w:val="00A04542"/>
    <w:rsid w:val="00A74270"/>
    <w:rsid w:val="00A773DD"/>
    <w:rsid w:val="00A91291"/>
    <w:rsid w:val="00AA4524"/>
    <w:rsid w:val="00AC5231"/>
    <w:rsid w:val="00B753F9"/>
    <w:rsid w:val="00B7708D"/>
    <w:rsid w:val="00B811CD"/>
    <w:rsid w:val="00BD2C19"/>
    <w:rsid w:val="00BF51C6"/>
    <w:rsid w:val="00C03A12"/>
    <w:rsid w:val="00CE4C5C"/>
    <w:rsid w:val="00D25A09"/>
    <w:rsid w:val="00D36EA1"/>
    <w:rsid w:val="00D63D8E"/>
    <w:rsid w:val="00E5575A"/>
    <w:rsid w:val="00ED59D0"/>
    <w:rsid w:val="00EF273B"/>
    <w:rsid w:val="00EF5081"/>
    <w:rsid w:val="00F371C2"/>
    <w:rsid w:val="00F77278"/>
    <w:rsid w:val="00FB1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393EA7"/>
  <w15:chartTrackingRefBased/>
  <w15:docId w15:val="{92BA8115-1CD7-466D-B4FF-667978C8E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5A17"/>
    <w:pPr>
      <w:spacing w:after="0" w:line="336" w:lineRule="auto"/>
    </w:pPr>
    <w:rPr>
      <w:rFonts w:ascii="Times New Roman" w:eastAsiaTheme="minorEastAsia" w:hAnsi="Times New Roman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708D"/>
    <w:pPr>
      <w:keepNext/>
      <w:keepLines/>
      <w:spacing w:before="480"/>
      <w:outlineLvl w:val="0"/>
    </w:pPr>
    <w:rPr>
      <w:rFonts w:eastAsiaTheme="majorEastAsia" w:cstheme="majorBidi"/>
      <w:b/>
      <w:bCs/>
      <w:sz w:val="28"/>
      <w:szCs w:val="28"/>
      <w:lang w:val="pt-BR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08D"/>
    <w:pPr>
      <w:keepNext/>
      <w:keepLines/>
      <w:spacing w:before="200"/>
      <w:outlineLvl w:val="1"/>
    </w:pPr>
    <w:rPr>
      <w:rFonts w:eastAsiaTheme="majorEastAsia" w:cstheme="majorBidi"/>
      <w:b/>
      <w:bCs/>
      <w:sz w:val="26"/>
      <w:szCs w:val="26"/>
      <w:lang w:val="pt-BR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708D"/>
    <w:pPr>
      <w:keepNext/>
      <w:keepLines/>
      <w:spacing w:before="200"/>
      <w:outlineLvl w:val="2"/>
    </w:pPr>
    <w:rPr>
      <w:rFonts w:eastAsiaTheme="majorEastAsia" w:cstheme="majorBidi"/>
      <w:b/>
      <w:bCs/>
      <w:lang w:val="pt-BR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708D"/>
    <w:pPr>
      <w:keepNext/>
      <w:keepLines/>
      <w:spacing w:before="200"/>
      <w:outlineLvl w:val="3"/>
    </w:pPr>
    <w:rPr>
      <w:rFonts w:eastAsiaTheme="majorEastAsia" w:cstheme="majorBidi"/>
      <w:b/>
      <w:bCs/>
      <w:i/>
      <w:iCs/>
      <w:lang w:val="pt-BR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0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08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08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08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08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08D"/>
    <w:rPr>
      <w:rFonts w:ascii="Times New Roman" w:eastAsiaTheme="majorEastAsia" w:hAnsi="Times New Roman" w:cstheme="majorBidi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B7708D"/>
    <w:rPr>
      <w:rFonts w:ascii="Times New Roman" w:eastAsiaTheme="majorEastAsia" w:hAnsi="Times New Roman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08D"/>
    <w:rPr>
      <w:rFonts w:ascii="Times New Roman" w:eastAsiaTheme="majorEastAsia" w:hAnsi="Times New Roman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708D"/>
    <w:rPr>
      <w:rFonts w:ascii="Times New Roman" w:eastAsiaTheme="majorEastAsia" w:hAnsi="Times New Roman" w:cstheme="majorBidi"/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B7708D"/>
    <w:pPr>
      <w:pBdr>
        <w:bottom w:val="single" w:sz="8" w:space="4" w:color="auto"/>
      </w:pBdr>
      <w:spacing w:after="300" w:line="240" w:lineRule="auto"/>
      <w:contextualSpacing/>
    </w:pPr>
    <w:rPr>
      <w:rFonts w:eastAsiaTheme="majorEastAsia" w:cstheme="majorBidi"/>
      <w:spacing w:val="5"/>
      <w:kern w:val="28"/>
      <w:sz w:val="32"/>
      <w:szCs w:val="52"/>
      <w:lang w:val="pt-BR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7708D"/>
    <w:rPr>
      <w:rFonts w:ascii="Times New Roman" w:eastAsiaTheme="majorEastAsia" w:hAnsi="Times New Roman" w:cstheme="majorBidi"/>
      <w:spacing w:val="5"/>
      <w:kern w:val="28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708D"/>
    <w:pPr>
      <w:numPr>
        <w:ilvl w:val="1"/>
      </w:numPr>
    </w:pPr>
    <w:rPr>
      <w:rFonts w:eastAsiaTheme="majorEastAsia" w:cstheme="majorBidi"/>
      <w:i/>
      <w:iCs/>
      <w:spacing w:val="15"/>
      <w:sz w:val="24"/>
      <w:szCs w:val="24"/>
      <w:lang w:val="pt-BR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7708D"/>
    <w:rPr>
      <w:rFonts w:ascii="Times New Roman" w:eastAsiaTheme="majorEastAsia" w:hAnsi="Times New Roman" w:cstheme="majorBidi"/>
      <w:i/>
      <w:iCs/>
      <w:spacing w:val="15"/>
      <w:sz w:val="24"/>
      <w:szCs w:val="24"/>
    </w:rPr>
  </w:style>
  <w:style w:type="paragraph" w:styleId="Quote">
    <w:name w:val="Quote"/>
    <w:basedOn w:val="Normal"/>
    <w:next w:val="Normal"/>
    <w:link w:val="QuoteChar"/>
    <w:uiPriority w:val="29"/>
    <w:qFormat/>
    <w:rsid w:val="00B7708D"/>
    <w:rPr>
      <w:rFonts w:eastAsiaTheme="minorHAnsi"/>
      <w:i/>
      <w:iCs/>
      <w:lang w:val="pt-BR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7708D"/>
    <w:rPr>
      <w:rFonts w:ascii="Times New Roman" w:hAnsi="Times New Roman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081"/>
    <w:rPr>
      <w:rFonts w:eastAsiaTheme="majorEastAsia" w:cstheme="majorBidi"/>
      <w:color w:val="0F4761" w:themeColor="accent1" w:themeShade="BF"/>
      <w:lang w:val="en-US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081"/>
    <w:rPr>
      <w:rFonts w:eastAsiaTheme="majorEastAsia" w:cstheme="majorBidi"/>
      <w:i/>
      <w:iCs/>
      <w:color w:val="595959" w:themeColor="text1" w:themeTint="A6"/>
      <w:lang w:val="en-US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081"/>
    <w:rPr>
      <w:rFonts w:eastAsiaTheme="majorEastAsia" w:cstheme="majorBidi"/>
      <w:color w:val="595959" w:themeColor="text1" w:themeTint="A6"/>
      <w:lang w:val="en-US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081"/>
    <w:rPr>
      <w:rFonts w:eastAsiaTheme="majorEastAsia" w:cstheme="majorBidi"/>
      <w:i/>
      <w:iCs/>
      <w:color w:val="272727" w:themeColor="text1" w:themeTint="D8"/>
      <w:lang w:val="en-US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081"/>
    <w:rPr>
      <w:rFonts w:eastAsiaTheme="majorEastAsia" w:cstheme="majorBidi"/>
      <w:color w:val="272727" w:themeColor="text1" w:themeTint="D8"/>
      <w:lang w:val="en-US"/>
      <w14:ligatures w14:val="none"/>
    </w:rPr>
  </w:style>
  <w:style w:type="paragraph" w:styleId="ListParagraph">
    <w:name w:val="List Paragraph"/>
    <w:basedOn w:val="Normal"/>
    <w:uiPriority w:val="34"/>
    <w:qFormat/>
    <w:rsid w:val="00EF50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0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081"/>
    <w:rPr>
      <w:rFonts w:ascii="Times New Roman" w:eastAsiaTheme="minorEastAsia" w:hAnsi="Times New Roman"/>
      <w:i/>
      <w:iCs/>
      <w:color w:val="0F4761" w:themeColor="accent1" w:themeShade="BF"/>
      <w:lang w:val="en-US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EF5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6</Pages>
  <Words>1400</Words>
  <Characters>7563</Characters>
  <Application>Microsoft Office Word</Application>
  <DocSecurity>0</DocSecurity>
  <Lines>63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Paulo Oliveira</dc:creator>
  <cp:keywords/>
  <dc:description/>
  <cp:lastModifiedBy>Paulo Oliveira</cp:lastModifiedBy>
  <cp:revision>3</cp:revision>
  <dcterms:created xsi:type="dcterms:W3CDTF">2025-05-10T12:41:00Z</dcterms:created>
  <dcterms:modified xsi:type="dcterms:W3CDTF">2026-01-17T11:54:00Z</dcterms:modified>
</cp:coreProperties>
</file>