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4482" w14:textId="77777777" w:rsidR="00C02687" w:rsidRDefault="00C02687" w:rsidP="00C02687">
      <w:r>
        <w:t>Título: A Planning-Oriented Resilience Assessment Framework for Transmission Systems Under Typhoon Disasters</w:t>
      </w:r>
    </w:p>
    <w:p w14:paraId="21B780DC" w14:textId="77777777" w:rsidR="00C02687" w:rsidRDefault="00C02687" w:rsidP="00C02687"/>
    <w:p w14:paraId="17C4F31D" w14:textId="77777777" w:rsidR="00C02687" w:rsidRDefault="00C02687" w:rsidP="00C02687">
      <w:r>
        <w:t>Autores: Xiaonan Liu, Kai Hou, Hongjie Jia, Junbo Zhao, Lamine Mili, Xiaolong Jin, Dan Wang</w:t>
      </w:r>
    </w:p>
    <w:p w14:paraId="79AF68BD" w14:textId="77777777" w:rsidR="00C02687" w:rsidRDefault="00C02687" w:rsidP="00C02687">
      <w:r>
        <w:t>Publicação: IEEE Transactions on Power Systems, 2020</w:t>
      </w:r>
    </w:p>
    <w:p w14:paraId="354F723A" w14:textId="77777777" w:rsidR="00C02687" w:rsidRDefault="00C02687" w:rsidP="00C02687"/>
    <w:p w14:paraId="59520642" w14:textId="1ED146C8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2. Resumo do Abstract</w:t>
      </w:r>
    </w:p>
    <w:p w14:paraId="3AC6E586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O artigo propõe uma estrutura de avaliação de resiliência voltada ao planejamento de sistemas de transmissão sujeitos a tufões. A estrutura compreende: (i) um modelo probabilístico de campo de vento de tufões; (ii) um modelo de fragilidade espaço-temporal para estimar falhas acumuladas em torres e linhas; e (iii) um modelo de avaliação de resiliência baseado na expectativa de carga não atendida sob diferentes cenários de falhas. A proposta permite identificar segmentos vulneráveis e avaliar estratégias de reforço e expansão da rede com base em análises quantitativas robustas. O sistema IEEE RTS-79 é utilizado como caso de estudo, considerando dados reais do Tufão Mangkhut de 2018.</w:t>
      </w:r>
    </w:p>
    <w:p w14:paraId="3F799519" w14:textId="77777777" w:rsidR="00C02687" w:rsidRPr="00C02687" w:rsidRDefault="00C02687" w:rsidP="00C02687">
      <w:pPr>
        <w:rPr>
          <w:lang w:val="pt-BR"/>
        </w:rPr>
      </w:pPr>
    </w:p>
    <w:p w14:paraId="7B600D75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3. Introdução</w:t>
      </w:r>
    </w:p>
    <w:p w14:paraId="2EF14228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Liu et al. (2020) destacam a crescente relevância da resiliência na operação e planejamento de sistemas de transmissão devido ao aumento da frequência e severidade de eventos climáticos extremos, como tufões. Os autores ressaltam que a maioria das abordagens existentes foca no pós-evento, negligenciando a perspectiva de planejamento preventivo e os impactos espaço-temporais da propagação dos desastres naturais. O objetivo do trabalho é preencher essa lacuna com uma estrutura abrangente que permita quantificar o impacto de um tufão sobre os corredores de transmissão e orientar ações de reforço preventivo.</w:t>
      </w:r>
    </w:p>
    <w:p w14:paraId="29419B4C" w14:textId="77777777" w:rsidR="00C02687" w:rsidRPr="00C02687" w:rsidRDefault="00C02687" w:rsidP="00C02687">
      <w:pPr>
        <w:rPr>
          <w:lang w:val="pt-BR"/>
        </w:rPr>
      </w:pPr>
    </w:p>
    <w:p w14:paraId="7883CDB9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4. Metodologia</w:t>
      </w:r>
    </w:p>
    <w:p w14:paraId="73782033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A estrutura metodológica proposta é composta por três componentes interdependentes:</w:t>
      </w:r>
    </w:p>
    <w:p w14:paraId="6278373E" w14:textId="77777777" w:rsidR="00C02687" w:rsidRPr="00C02687" w:rsidRDefault="00C02687" w:rsidP="00C02687">
      <w:pPr>
        <w:rPr>
          <w:lang w:val="pt-BR"/>
        </w:rPr>
      </w:pPr>
    </w:p>
    <w:p w14:paraId="38EC22F6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Modelo de Campo de Vento de Tufões: baseado em dados históricos e simulação estocástica de variáveis como pressão central, raio máximo e velocidade do tufão. A distribuição espacial do vento é calculada utilizando equações ajustadas ao modelo de Holland.</w:t>
      </w:r>
    </w:p>
    <w:p w14:paraId="5605FE40" w14:textId="77777777" w:rsidR="00C02687" w:rsidRPr="00C02687" w:rsidRDefault="00C02687" w:rsidP="00C02687">
      <w:pPr>
        <w:rPr>
          <w:lang w:val="pt-BR"/>
        </w:rPr>
      </w:pPr>
    </w:p>
    <w:p w14:paraId="3EF7B0A5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Modelo Espaço-Temporal de Fragilidade: define a probabilidade acumulativa de falha para cada segmento da rede com base na trajetória do tufão e na resistência estrutural das torres. As curvas de fragilidade adotam forma log-normal, permitindo calcular a função de confiabilidade \( R(t) = 1 - F(V(t)) \), onde F é a função de distribuição da falha dependente da velocidade do vento local V(t).</w:t>
      </w:r>
    </w:p>
    <w:p w14:paraId="3F408A26" w14:textId="77777777" w:rsidR="00C02687" w:rsidRPr="00C02687" w:rsidRDefault="00C02687" w:rsidP="00C02687">
      <w:pPr>
        <w:rPr>
          <w:lang w:val="pt-BR"/>
        </w:rPr>
      </w:pPr>
    </w:p>
    <w:p w14:paraId="2A00B656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 xml:space="preserve">• Modelo de Avaliação de Resiliência: utiliza Monte Carlo para gerar cenários de falhas estruturais e calcula a expectativa de carga não atendida (EENS) como métrica de impacto. Dois </w:t>
      </w:r>
      <w:r w:rsidRPr="00C02687">
        <w:rPr>
          <w:lang w:val="pt-BR"/>
        </w:rPr>
        <w:lastRenderedPageBreak/>
        <w:t>métodos de análise são comparados: um método de enumeração direta e um método eficiente de separação e estimação iterativa (IISE), que reduz drasticamente o tempo computacional mantendo acurácia aceitável.</w:t>
      </w:r>
    </w:p>
    <w:p w14:paraId="04EEC953" w14:textId="77777777" w:rsidR="00C02687" w:rsidRPr="00C02687" w:rsidRDefault="00C02687" w:rsidP="00C02687">
      <w:pPr>
        <w:rPr>
          <w:lang w:val="pt-BR"/>
        </w:rPr>
      </w:pPr>
    </w:p>
    <w:p w14:paraId="785FD59C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5. Resultados</w:t>
      </w:r>
    </w:p>
    <w:p w14:paraId="0F92AFBF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A estrutura foi aplicada ao sistema IEEE RTS-79, composto por 24 nós e 38 linhas. O Tufão Mangkhut, que atingiu o sul da China em 2018, serviu de base para a geração de 10.000 cenários de vento.</w:t>
      </w:r>
    </w:p>
    <w:p w14:paraId="096CDF6C" w14:textId="77777777" w:rsidR="00C02687" w:rsidRPr="00C02687" w:rsidRDefault="00C02687" w:rsidP="00C02687">
      <w:pPr>
        <w:rPr>
          <w:lang w:val="pt-BR"/>
        </w:rPr>
      </w:pPr>
    </w:p>
    <w:p w14:paraId="30C3EC15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O índice de resiliência global do sistema foi estimado como a razão entre a carga atendida esperada e a carga total. A análise de sensibilidade indicou que:</w:t>
      </w:r>
    </w:p>
    <w:p w14:paraId="67449DCB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As torres mais expostas a ventos perpendiculares têm maior probabilidade de colapso;</w:t>
      </w:r>
    </w:p>
    <w:p w14:paraId="4E666F7A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A substituição de apenas 10% das torres por versões reforçadas pode aumentar a resiliência em até 8%;</w:t>
      </w:r>
    </w:p>
    <w:p w14:paraId="4ACF8964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Rotas de transmissão alternativas (redundância topológica) são mais eficazes do que reforço isolado em segmentos críticos.</w:t>
      </w:r>
    </w:p>
    <w:p w14:paraId="16D694A7" w14:textId="77777777" w:rsidR="00C02687" w:rsidRPr="00C02687" w:rsidRDefault="00C02687" w:rsidP="00C02687">
      <w:pPr>
        <w:rPr>
          <w:lang w:val="pt-BR"/>
        </w:rPr>
      </w:pPr>
    </w:p>
    <w:p w14:paraId="41117D8B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A tabela III mostra a comparação entre os métodos de reforço, onde a abordagem baseada em expansão estrutural obteve melhor custo-benefício frente ao reforço estrutural puro.</w:t>
      </w:r>
    </w:p>
    <w:p w14:paraId="570A2426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6. Discussão</w:t>
      </w:r>
    </w:p>
    <w:p w14:paraId="3B1999CD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Liu et al. (2020) argumentam que a consideração explícita da dimensão espaço-temporal do desastre torna a análise mais realista. Eles destacam que muitas abordagens anteriores assumem falhas simultâneas ou independentes, enquanto a abordagem apresentada simula o efeito progressivo do vento em diferentes trechos da rede ao longo do tempo.</w:t>
      </w:r>
    </w:p>
    <w:p w14:paraId="602E18B3" w14:textId="77777777" w:rsidR="00C02687" w:rsidRPr="00C02687" w:rsidRDefault="00C02687" w:rsidP="00C02687">
      <w:pPr>
        <w:rPr>
          <w:lang w:val="pt-BR"/>
        </w:rPr>
      </w:pPr>
    </w:p>
    <w:p w14:paraId="637672F3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Além disso, a integração da curva de fragilidade com dados históricos de vento permite uma abordagem física-probabilística robusta. A utilização de EENS como métrica torna os resultados diretamente utilizáveis por planejadores de rede.</w:t>
      </w:r>
    </w:p>
    <w:p w14:paraId="4EAA220C" w14:textId="77777777" w:rsidR="00C02687" w:rsidRPr="00C02687" w:rsidRDefault="00C02687" w:rsidP="00C02687">
      <w:pPr>
        <w:rPr>
          <w:lang w:val="pt-BR"/>
        </w:rPr>
      </w:pPr>
    </w:p>
    <w:p w14:paraId="5224D202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7. Conclusão Crítica</w:t>
      </w:r>
    </w:p>
    <w:p w14:paraId="6999689F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O artigo apresenta uma contribuição sólida para o planejamento resiliente de sistemas elétricos de transmissão. A integração entre modelagem climática, fragilidade estrutural e avaliação de desempenho operacional permite identificar e priorizar investimentos com base em risco climático. O uso do método IISE representa um avanço importante para reduzir a complexidade computacional da análise. Como limitação, os autores reconhecem que a modelagem não inclui cascatas de falhas elétricas, o que pode ser explorado em trabalhos futuros.</w:t>
      </w:r>
    </w:p>
    <w:p w14:paraId="5BD5B260" w14:textId="77777777" w:rsidR="00C02687" w:rsidRPr="00C02687" w:rsidRDefault="00C02687" w:rsidP="00C02687">
      <w:pPr>
        <w:rPr>
          <w:lang w:val="pt-BR"/>
        </w:rPr>
      </w:pPr>
    </w:p>
    <w:p w14:paraId="3D4F8A0F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8. Resumo dos Achados Principais</w:t>
      </w:r>
    </w:p>
    <w:p w14:paraId="2F702350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Introdução de uma estrutura orientada ao planejamento com base em riscos climáticos reais;</w:t>
      </w:r>
    </w:p>
    <w:p w14:paraId="7C0780F0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Utilização de curvas de fragilidade log-normal para torres de transmissão;</w:t>
      </w:r>
    </w:p>
    <w:p w14:paraId="46EA5EF7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lastRenderedPageBreak/>
        <w:t>- Avaliação de resiliência via EENS sob milhares de cenários gerados;</w:t>
      </w:r>
    </w:p>
    <w:p w14:paraId="2849F33D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- Proposição do método IISE para avaliação computacional eficiente;</w:t>
      </w:r>
    </w:p>
    <w:p w14:paraId="380525E8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- Análise aplicada ao sistema IEEE RTS-79 com dados reais do Tufão Mangkhut.</w:t>
      </w:r>
    </w:p>
    <w:p w14:paraId="2D80BCA2" w14:textId="77777777" w:rsidR="00C02687" w:rsidRPr="00C02687" w:rsidRDefault="00C02687" w:rsidP="00C02687">
      <w:pPr>
        <w:rPr>
          <w:lang w:val="pt-BR"/>
        </w:rPr>
      </w:pPr>
    </w:p>
    <w:p w14:paraId="388BF858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9. Descrição Técnica de Figuras, Tabelas e Gráficos</w:t>
      </w:r>
    </w:p>
    <w:p w14:paraId="6CC3113F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1: Diagrama do triângulo de resiliência funcional (início da queda, tempo de recuperação, área perdida).</w:t>
      </w:r>
    </w:p>
    <w:p w14:paraId="12799075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2: Arquitetura geral da metodologia proposta (modelo de vento + fragilidade + resiliência).</w:t>
      </w:r>
    </w:p>
    <w:p w14:paraId="5CA781A3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3: Simulação da trajetória de um tufão com base nos dados históricos.</w:t>
      </w:r>
    </w:p>
    <w:p w14:paraId="21253FB4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4: Modelagem do campo de vento radial ao longo do tempo.</w:t>
      </w:r>
    </w:p>
    <w:p w14:paraId="2D09AF0A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5: Fluxograma do método IISE para redução do esforço computacional.</w:t>
      </w:r>
    </w:p>
    <w:p w14:paraId="678CD385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 6: Mapeamento do sistema IEEE RTS-79 em relação à costa chinesa.</w:t>
      </w:r>
    </w:p>
    <w:p w14:paraId="209B7AB2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Figuras 7a–7b: Velocidade do vento e probabilidade acumulada de falha por corredor de transmissão.</w:t>
      </w:r>
    </w:p>
    <w:p w14:paraId="07BECF4A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Tabela I: Parâmetros estatísticos dos modelos de tufão.</w:t>
      </w:r>
    </w:p>
    <w:p w14:paraId="3E230E71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Tabela II: Funções de fragilidade aplicadas por componente.</w:t>
      </w:r>
    </w:p>
    <w:p w14:paraId="61EDE69B" w14:textId="77777777" w:rsidR="00C02687" w:rsidRPr="00C02687" w:rsidRDefault="00C02687" w:rsidP="00C02687">
      <w:pPr>
        <w:rPr>
          <w:lang w:val="pt-BR"/>
        </w:rPr>
      </w:pPr>
      <w:r w:rsidRPr="00C02687">
        <w:rPr>
          <w:lang w:val="pt-BR"/>
        </w:rPr>
        <w:t>• Tabela III: Comparação entre estratégias de reforço e seus impactos na resiliência.</w:t>
      </w:r>
    </w:p>
    <w:p w14:paraId="7EB4B52D" w14:textId="77777777" w:rsidR="00C02687" w:rsidRDefault="00C02687" w:rsidP="00C02687">
      <w:pPr>
        <w:rPr>
          <w:lang w:val="pt-BR"/>
        </w:rPr>
      </w:pPr>
      <w:r w:rsidRPr="00C02687">
        <w:rPr>
          <w:lang w:val="pt-BR"/>
        </w:rPr>
        <w:t>• Tabela IV: Resultados do método IISE comparado ao método de enumeração direta.</w:t>
      </w:r>
    </w:p>
    <w:p w14:paraId="04C8F4A4" w14:textId="77777777" w:rsidR="00D405F5" w:rsidRDefault="00D405F5" w:rsidP="00C02687">
      <w:pPr>
        <w:rPr>
          <w:lang w:val="pt-BR"/>
        </w:rPr>
      </w:pPr>
    </w:p>
    <w:p w14:paraId="3392BDFB" w14:textId="77777777" w:rsidR="00D405F5" w:rsidRDefault="00D405F5" w:rsidP="00D405F5">
      <w:r w:rsidRPr="009656A5">
        <w:t>2020 A Planning-Oriented Resilience Assessment Framework for Transmission Systems Under Typhoon Disasters-IEEE</w:t>
      </w:r>
    </w:p>
    <w:p w14:paraId="1F8F09EC" w14:textId="77777777" w:rsidR="00D405F5" w:rsidRDefault="00D405F5" w:rsidP="00D405F5"/>
    <w:p w14:paraId="4D7C5E01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Artigo (2020)</w:t>
      </w:r>
    </w:p>
    <w:p w14:paraId="372F19D7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Título: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i/>
          <w:iCs/>
          <w:sz w:val="24"/>
          <w:szCs w:val="24"/>
          <w:lang w:eastAsia="pt-PT"/>
        </w:rPr>
        <w:t>A Planning-Oriented Resilience Assessment Framework for Transmission Systems Under Typhoon Disasters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Autores: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Xiaonan Liu; Kai Hou; Hongjie Jia; Junbo Zhao; Lamine Mili; Xiaolong Jin; Dan Wang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Fonte: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i/>
          <w:iCs/>
          <w:sz w:val="24"/>
          <w:szCs w:val="24"/>
          <w:lang w:eastAsia="pt-PT"/>
        </w:rPr>
        <w:t>IEEE Transactions on Smart Grid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Ano: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2020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Arquivo: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i/>
          <w:iCs/>
          <w:sz w:val="24"/>
          <w:szCs w:val="24"/>
          <w:lang w:eastAsia="pt-PT"/>
        </w:rPr>
        <w:t>2020 A Planning-Oriented Resilience Assessment Framework for Transmission Systems Under Typhoon Disasters-IEEE.pdf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</w:p>
    <w:p w14:paraId="24FF1FE7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2020 A Planning-Oriented Resili…</w:t>
      </w:r>
    </w:p>
    <w:p w14:paraId="6A77AFBE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436A657">
          <v:rect id="_x0000_i1025" style="width:0;height:1.5pt" o:hralign="center" o:hrstd="t" o:hr="t" fillcolor="#a0a0a0" stroked="f"/>
        </w:pict>
      </w:r>
    </w:p>
    <w:p w14:paraId="0C9DE92A" w14:textId="77777777" w:rsidR="00D405F5" w:rsidRPr="00D405F5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D405F5">
        <w:rPr>
          <w:rFonts w:eastAsia="Times New Roman" w:cs="Times New Roman"/>
          <w:b/>
          <w:bCs/>
          <w:sz w:val="36"/>
          <w:szCs w:val="36"/>
          <w:lang w:val="pt-PT" w:eastAsia="pt-PT"/>
        </w:rPr>
        <w:lastRenderedPageBreak/>
        <w:t>1) Foco real do artigo</w:t>
      </w:r>
    </w:p>
    <w:p w14:paraId="21069B45" w14:textId="77777777" w:rsidR="00D405F5" w:rsidRPr="00D405F5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Este artigo apresenta um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framework orientado ao planejamento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para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avaliação da resiliência de sistemas de transmissão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sob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desastres de tufão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>, integrando explicitamente:</w:t>
      </w:r>
    </w:p>
    <w:p w14:paraId="157F6396" w14:textId="77777777" w:rsidR="00D405F5" w:rsidRPr="00D405F5" w:rsidRDefault="00D405F5" w:rsidP="00D4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modelo probabilístico de tufão baseado em campo de vento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>;</w:t>
      </w:r>
    </w:p>
    <w:p w14:paraId="531C29D6" w14:textId="77777777" w:rsidR="00D405F5" w:rsidRPr="00D405F5" w:rsidRDefault="00D405F5" w:rsidP="00D4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modelo de fragilidade espaço-temporal de corredores de transmissão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(linhas + torres);</w:t>
      </w:r>
    </w:p>
    <w:p w14:paraId="7A7DE75B" w14:textId="77777777" w:rsidR="00D405F5" w:rsidRPr="00D405F5" w:rsidRDefault="00D405F5" w:rsidP="00D4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índices quantitativos de resiliência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em nível de sistema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e de componente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4B218E7C" w14:textId="77777777" w:rsidR="00D405F5" w:rsidRPr="00D405F5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O foco é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diretamente alinhado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à resiliência das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linhas/corredores de transmissão frente a eventos climáticos extremos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, no horizonte de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planejamento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616411C6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F984CA5">
          <v:rect id="_x0000_i1026" style="width:0;height:1.5pt" o:hralign="center" o:hrstd="t" o:hr="t" fillcolor="#a0a0a0" stroked="f"/>
        </w:pict>
      </w:r>
    </w:p>
    <w:p w14:paraId="570AB3E4" w14:textId="77777777" w:rsidR="00D405F5" w:rsidRPr="00D405F5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D405F5">
        <w:rPr>
          <w:rFonts w:eastAsia="Times New Roman" w:cs="Times New Roman"/>
          <w:b/>
          <w:bCs/>
          <w:sz w:val="36"/>
          <w:szCs w:val="36"/>
          <w:lang w:val="pt-PT" w:eastAsia="pt-PT"/>
        </w:rPr>
        <w:t>2) Contribuições técnicas (núcleo forte)</w:t>
      </w:r>
    </w:p>
    <w:p w14:paraId="50A41F4C" w14:textId="77777777" w:rsidR="00D405F5" w:rsidRPr="00D405F5" w:rsidRDefault="00D405F5" w:rsidP="00D405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D405F5">
        <w:rPr>
          <w:rFonts w:eastAsia="Times New Roman" w:cs="Times New Roman"/>
          <w:b/>
          <w:bCs/>
          <w:sz w:val="27"/>
          <w:szCs w:val="27"/>
          <w:lang w:val="pt-PT" w:eastAsia="pt-PT"/>
        </w:rPr>
        <w:t>2.1 Modelo probabilístico de tufão</w:t>
      </w:r>
    </w:p>
    <w:p w14:paraId="43518EE9" w14:textId="77777777" w:rsidR="00D405F5" w:rsidRPr="00D405F5" w:rsidRDefault="00D405F5" w:rsidP="00D4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Baseado em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parâmetros físicos reais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(pressão central, velocidade de translação, direção e ponto de aterragem);</w:t>
      </w:r>
    </w:p>
    <w:p w14:paraId="2AE4547E" w14:textId="77777777" w:rsidR="00D405F5" w:rsidRPr="00D405F5" w:rsidRDefault="00D405F5" w:rsidP="00D4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Geração de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múltiplos cenários de tufão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via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enumeração combinatória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(pág. 3–4, Fig. 2–4);</w:t>
      </w:r>
    </w:p>
    <w:p w14:paraId="148A2311" w14:textId="77777777" w:rsidR="00D405F5" w:rsidRPr="00D405F5" w:rsidRDefault="00D405F5" w:rsidP="00D4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Considera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incerteza espacial e temporal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do evento.</w:t>
      </w:r>
    </w:p>
    <w:p w14:paraId="12700CFC" w14:textId="77777777" w:rsidR="00D405F5" w:rsidRPr="00D405F5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t>➡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Este ponto é </w:t>
      </w: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fundamental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para modelar eventos HILP de forma realista.</w:t>
      </w:r>
    </w:p>
    <w:p w14:paraId="6FAECFCC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0C12524">
          <v:rect id="_x0000_i1027" style="width:0;height:1.5pt" o:hralign="center" o:hrstd="t" o:hr="t" fillcolor="#a0a0a0" stroked="f"/>
        </w:pict>
      </w:r>
    </w:p>
    <w:p w14:paraId="2066C46A" w14:textId="77777777" w:rsidR="00D405F5" w:rsidRPr="00D405F5" w:rsidRDefault="00D405F5" w:rsidP="00D405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D405F5">
        <w:rPr>
          <w:rFonts w:eastAsia="Times New Roman" w:cs="Times New Roman"/>
          <w:b/>
          <w:bCs/>
          <w:sz w:val="27"/>
          <w:szCs w:val="27"/>
          <w:lang w:val="pt-PT" w:eastAsia="pt-PT"/>
        </w:rPr>
        <w:t>2.2 Modelo de fragilidade espaço-temporal de corredores</w:t>
      </w:r>
    </w:p>
    <w:p w14:paraId="2189E15D" w14:textId="77777777" w:rsidR="00D405F5" w:rsidRPr="00D405F5" w:rsidRDefault="00D405F5" w:rsidP="00D4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sz w:val="24"/>
          <w:szCs w:val="24"/>
          <w:lang w:val="pt-PT" w:eastAsia="pt-PT"/>
        </w:rPr>
        <w:t>Fragmentação explícita do corredor em:</w:t>
      </w:r>
    </w:p>
    <w:p w14:paraId="419771DF" w14:textId="77777777" w:rsidR="00D405F5" w:rsidRPr="00D405F5" w:rsidRDefault="00D405F5" w:rsidP="00D40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torres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(fragilidade dependente da velocidade do vento);</w:t>
      </w:r>
    </w:p>
    <w:p w14:paraId="69F83D9E" w14:textId="77777777" w:rsidR="00D405F5" w:rsidRPr="00D405F5" w:rsidRDefault="00D405F5" w:rsidP="00D40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D405F5">
        <w:rPr>
          <w:rFonts w:eastAsia="Times New Roman" w:cs="Times New Roman"/>
          <w:b/>
          <w:bCs/>
          <w:sz w:val="24"/>
          <w:szCs w:val="24"/>
          <w:lang w:val="pt-PT" w:eastAsia="pt-PT"/>
        </w:rPr>
        <w:t>vãos/condutores</w:t>
      </w:r>
      <w:r w:rsidRPr="00D405F5">
        <w:rPr>
          <w:rFonts w:eastAsia="Times New Roman" w:cs="Times New Roman"/>
          <w:sz w:val="24"/>
          <w:szCs w:val="24"/>
          <w:lang w:val="pt-PT" w:eastAsia="pt-PT"/>
        </w:rPr>
        <w:t xml:space="preserve"> (função exponencial da velocidade do vento);</w:t>
      </w:r>
    </w:p>
    <w:p w14:paraId="7360CCC8" w14:textId="77777777" w:rsidR="00D405F5" w:rsidRPr="00A55E62" w:rsidRDefault="00D405F5" w:rsidP="00D4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Integração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ao longo do tempo do evento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para obter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probabilidade acumulada de falha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(Eq. 14–18);</w:t>
      </w:r>
    </w:p>
    <w:p w14:paraId="639D148F" w14:textId="77777777" w:rsidR="00D405F5" w:rsidRPr="00A55E62" w:rsidRDefault="00D405F5" w:rsidP="00D4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Diferenciação espacial: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cada segmento sofre vento distinto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conforme o deslocamento do tufão (Fig. 3 e Fig. 7a).</w:t>
      </w:r>
    </w:p>
    <w:p w14:paraId="1C2A8E30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Contribuição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central e rara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na literatura: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fragilidade física dependente do tempo e do espaço</w:t>
      </w:r>
      <w:r w:rsidRPr="00A55E62">
        <w:rPr>
          <w:rFonts w:eastAsia="Times New Roman" w:cs="Times New Roman"/>
          <w:sz w:val="24"/>
          <w:szCs w:val="24"/>
          <w:lang w:eastAsia="pt-PT"/>
        </w:rPr>
        <w:t>.</w:t>
      </w:r>
    </w:p>
    <w:p w14:paraId="279D91EB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lastRenderedPageBreak/>
        <w:pict w14:anchorId="7CBAAFB0">
          <v:rect id="_x0000_i1028" style="width:0;height:1.5pt" o:hralign="center" o:hrstd="t" o:hr="t" fillcolor="#a0a0a0" stroked="f"/>
        </w:pict>
      </w:r>
    </w:p>
    <w:p w14:paraId="62F3ACFA" w14:textId="77777777" w:rsidR="00D405F5" w:rsidRPr="00A55E62" w:rsidRDefault="00D405F5" w:rsidP="00D405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A55E62">
        <w:rPr>
          <w:rFonts w:eastAsia="Times New Roman" w:cs="Times New Roman"/>
          <w:b/>
          <w:bCs/>
          <w:sz w:val="27"/>
          <w:szCs w:val="27"/>
          <w:lang w:eastAsia="pt-PT"/>
        </w:rPr>
        <w:t>2.3 Índices de resiliência (sistema e componente)</w:t>
      </w:r>
    </w:p>
    <w:p w14:paraId="393FCD09" w14:textId="77777777" w:rsidR="00D405F5" w:rsidRPr="00A55E62" w:rsidRDefault="00D405F5" w:rsidP="00D4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Uso do conceito de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resilience triangle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, adaptado para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valor esperado sob múltiplos cenários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(Eq. 6–7);</w:t>
      </w:r>
    </w:p>
    <w:p w14:paraId="5FA9A06B" w14:textId="77777777" w:rsidR="00D405F5" w:rsidRPr="00A55E62" w:rsidRDefault="00D405F5" w:rsidP="00D4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Métrica principal:</w:t>
      </w:r>
    </w:p>
    <w:p w14:paraId="097C1406" w14:textId="77777777" w:rsidR="00D405F5" w:rsidRPr="00A55E62" w:rsidRDefault="00D405F5" w:rsidP="00D405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load shedding esperado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7818D3E9" w14:textId="77777777" w:rsidR="00D405F5" w:rsidRPr="00A55E62" w:rsidRDefault="00D405F5" w:rsidP="00D4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Introdução do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índice de resiliência de componente</w:t>
      </w:r>
      <w:r w:rsidRPr="00A55E62">
        <w:rPr>
          <w:rFonts w:eastAsia="Times New Roman" w:cs="Times New Roman"/>
          <w:sz w:val="24"/>
          <w:szCs w:val="24"/>
          <w:lang w:eastAsia="pt-PT"/>
        </w:rPr>
        <w:t>:</w:t>
      </w:r>
    </w:p>
    <w:p w14:paraId="6B869883" w14:textId="77777777" w:rsidR="00D405F5" w:rsidRPr="00A55E62" w:rsidRDefault="00D405F5" w:rsidP="00D405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mede o impacto marginal da falha de cada corredor (Eq. 20).</w:t>
      </w:r>
    </w:p>
    <w:p w14:paraId="2595D7FF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Excelente alinhamento com abordagens modernas de resiliência em transmissão.</w:t>
      </w:r>
    </w:p>
    <w:p w14:paraId="008C159A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0F2FC6F">
          <v:rect id="_x0000_i1029" style="width:0;height:1.5pt" o:hralign="center" o:hrstd="t" o:hr="t" fillcolor="#a0a0a0" stroked="f"/>
        </w:pict>
      </w:r>
    </w:p>
    <w:p w14:paraId="19255EC2" w14:textId="77777777" w:rsidR="00D405F5" w:rsidRPr="00A55E62" w:rsidRDefault="00D405F5" w:rsidP="00D405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A55E62">
        <w:rPr>
          <w:rFonts w:eastAsia="Times New Roman" w:cs="Times New Roman"/>
          <w:b/>
          <w:bCs/>
          <w:sz w:val="27"/>
          <w:szCs w:val="27"/>
          <w:lang w:eastAsia="pt-PT"/>
        </w:rPr>
        <w:t>2.4 Eficiência computacional</w:t>
      </w:r>
    </w:p>
    <w:p w14:paraId="49B0F997" w14:textId="77777777" w:rsidR="00D405F5" w:rsidRPr="00A55E62" w:rsidRDefault="00D405F5" w:rsidP="00D40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Integração do método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IISE (Impact-Increment-based State Enumeration)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2563F547" w14:textId="77777777" w:rsidR="00D405F5" w:rsidRPr="00A55E62" w:rsidRDefault="00D405F5" w:rsidP="00D40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Redução drástica do custo computacional face a Monte Carlo clássico (Tabela I);</w:t>
      </w:r>
    </w:p>
    <w:p w14:paraId="06C577AB" w14:textId="77777777" w:rsidR="00D405F5" w:rsidRPr="00A55E62" w:rsidRDefault="00D405F5" w:rsidP="00D40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Viabiliza uso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em estudos de planejamento realistas</w:t>
      </w:r>
      <w:r w:rsidRPr="00A55E62">
        <w:rPr>
          <w:rFonts w:eastAsia="Times New Roman" w:cs="Times New Roman"/>
          <w:sz w:val="24"/>
          <w:szCs w:val="24"/>
          <w:lang w:eastAsia="pt-PT"/>
        </w:rPr>
        <w:t>.</w:t>
      </w:r>
    </w:p>
    <w:p w14:paraId="608C8A8D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4CAEDCA">
          <v:rect id="_x0000_i1030" style="width:0;height:1.5pt" o:hralign="center" o:hrstd="t" o:hr="t" fillcolor="#a0a0a0" stroked="f"/>
        </w:pict>
      </w:r>
    </w:p>
    <w:p w14:paraId="0AAC1C3E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3) Limitações críticas (controláveis)</w:t>
      </w:r>
    </w:p>
    <w:p w14:paraId="07C421E9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Emoji" w:eastAsia="Times New Roman" w:hAnsi="Segoe UI Emoji" w:cs="Segoe UI Emoji"/>
          <w:sz w:val="24"/>
          <w:szCs w:val="24"/>
          <w:lang w:eastAsia="pt-PT"/>
        </w:rPr>
        <w:t>⚠️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Pontos a considerar:</w:t>
      </w:r>
    </w:p>
    <w:p w14:paraId="0A55A1A5" w14:textId="77777777" w:rsidR="00D405F5" w:rsidRPr="00A55E62" w:rsidRDefault="00D405F5" w:rsidP="00D40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Resiliência medida via load shedding</w:t>
      </w:r>
    </w:p>
    <w:p w14:paraId="1226DAAF" w14:textId="77777777" w:rsidR="00D405F5" w:rsidRPr="00A55E62" w:rsidRDefault="00D405F5" w:rsidP="00D405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não inclui custos de reparo nem tempos explícitos de reconstrução;</w:t>
      </w:r>
    </w:p>
    <w:p w14:paraId="77A037B3" w14:textId="77777777" w:rsidR="00D405F5" w:rsidRPr="00A55E62" w:rsidRDefault="00D405F5" w:rsidP="00D40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Recuperação física modelada implicitamente</w:t>
      </w:r>
    </w:p>
    <w:p w14:paraId="5885BCD8" w14:textId="77777777" w:rsidR="00D405F5" w:rsidRPr="00A55E62" w:rsidRDefault="00D405F5" w:rsidP="00D405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foco maior em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prevenção/hardening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do que em restabelecimento pós-evento;</w:t>
      </w:r>
    </w:p>
    <w:p w14:paraId="1DAA9D30" w14:textId="77777777" w:rsidR="00D405F5" w:rsidRPr="00A55E62" w:rsidRDefault="00D405F5" w:rsidP="00D40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Modelo específico para vento (tufão)</w:t>
      </w:r>
    </w:p>
    <w:p w14:paraId="355CF170" w14:textId="77777777" w:rsidR="00D405F5" w:rsidRPr="00A55E62" w:rsidRDefault="00D405F5" w:rsidP="00D405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outras ameaças (gelo, incêndio, temperatura) exigiriam adaptação.</w:t>
      </w:r>
    </w:p>
    <w:p w14:paraId="49A7159A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Nenhuma limitação invalida o uso do artigo como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referência central</w:t>
      </w:r>
      <w:r w:rsidRPr="00A55E62">
        <w:rPr>
          <w:rFonts w:eastAsia="Times New Roman" w:cs="Times New Roman"/>
          <w:sz w:val="24"/>
          <w:szCs w:val="24"/>
          <w:lang w:eastAsia="pt-PT"/>
        </w:rPr>
        <w:t>.</w:t>
      </w:r>
    </w:p>
    <w:p w14:paraId="29F48C77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8113275">
          <v:rect id="_x0000_i1031" style="width:0;height:1.5pt" o:hralign="center" o:hrstd="t" o:hr="t" fillcolor="#a0a0a0" stroked="f"/>
        </w:pict>
      </w:r>
    </w:p>
    <w:p w14:paraId="25BD6AB4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4) Aderência ao tema da tese</w:t>
      </w:r>
    </w:p>
    <w:p w14:paraId="6EB33B14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Tema: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684"/>
      </w:tblGrid>
      <w:tr w:rsidR="00D405F5" w:rsidRPr="00A55E62" w14:paraId="1EDE86EF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E573D" w14:textId="77777777" w:rsidR="00D405F5" w:rsidRPr="00A55E62" w:rsidRDefault="00D405F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95AB6F" w14:textId="77777777" w:rsidR="00D405F5" w:rsidRPr="00A55E62" w:rsidRDefault="00D405F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</w:p>
        </w:tc>
      </w:tr>
      <w:tr w:rsidR="00D405F5" w:rsidRPr="00A55E62" w14:paraId="3AE07CAD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4ED9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33CB45F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D405F5" w:rsidRPr="00A55E62" w14:paraId="5291A5A5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BC5B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015E226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(tufão / vento extremo)</w:t>
            </w:r>
          </w:p>
        </w:tc>
      </w:tr>
      <w:tr w:rsidR="00D405F5" w:rsidRPr="00A55E62" w14:paraId="7F6D5FD2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7C9D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00956C6E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D405F5" w:rsidRPr="00A55E62" w14:paraId="1F18D151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ED68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Fragilidade espaço-temporal</w:t>
            </w:r>
          </w:p>
        </w:tc>
        <w:tc>
          <w:tcPr>
            <w:tcW w:w="0" w:type="auto"/>
            <w:vAlign w:val="center"/>
            <w:hideMark/>
          </w:tcPr>
          <w:p w14:paraId="3EFD865F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D405F5" w:rsidRPr="00A55E62" w14:paraId="13CF9471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CBFF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4FF8B89F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D405F5" w:rsidRPr="00A55E62" w14:paraId="3C8F2FC2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5D03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Planejamento de resiliência</w:t>
            </w:r>
          </w:p>
        </w:tc>
        <w:tc>
          <w:tcPr>
            <w:tcW w:w="0" w:type="auto"/>
            <w:vAlign w:val="center"/>
            <w:hideMark/>
          </w:tcPr>
          <w:p w14:paraId="13C30B24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D405F5" w:rsidRPr="00A55E62" w14:paraId="0AB2D2D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EA7C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>Recuperação temporal explícita</w:t>
            </w:r>
          </w:p>
        </w:tc>
        <w:tc>
          <w:tcPr>
            <w:tcW w:w="0" w:type="auto"/>
            <w:vAlign w:val="center"/>
            <w:hideMark/>
          </w:tcPr>
          <w:p w14:paraId="025B7C0E" w14:textId="77777777" w:rsidR="00D405F5" w:rsidRPr="00A55E62" w:rsidRDefault="00D405F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A55E62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⚠️</w:t>
            </w:r>
            <w:r w:rsidRPr="00A55E62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Parcial</w:t>
            </w:r>
          </w:p>
        </w:tc>
      </w:tr>
    </w:tbl>
    <w:p w14:paraId="095067D2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Aderência direta: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alta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</w: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Aderência metodológica: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muito alta</w:t>
      </w:r>
    </w:p>
    <w:p w14:paraId="6CAB8D3D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6C95E56">
          <v:rect id="_x0000_i1032" style="width:0;height:1.5pt" o:hralign="center" o:hrstd="t" o:hr="t" fillcolor="#a0a0a0" stroked="f"/>
        </w:pict>
      </w:r>
    </w:p>
    <w:p w14:paraId="0C564352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5) Utilidade real para a sua tese</w:t>
      </w:r>
    </w:p>
    <w:p w14:paraId="64614B6C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Este artigo é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altamente valioso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para:</w:t>
      </w:r>
    </w:p>
    <w:p w14:paraId="039755A4" w14:textId="77777777" w:rsidR="00D405F5" w:rsidRPr="00A55E62" w:rsidRDefault="00D405F5" w:rsidP="00D40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fundamentar 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estado da arte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em resiliência de LT;</w:t>
      </w:r>
    </w:p>
    <w:p w14:paraId="5FBD1B2A" w14:textId="77777777" w:rsidR="00D405F5" w:rsidRPr="00A55E62" w:rsidRDefault="00D405F5" w:rsidP="00D40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servir como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benchmark metodológico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74C80900" w14:textId="77777777" w:rsidR="00D405F5" w:rsidRPr="00A55E62" w:rsidRDefault="00D405F5" w:rsidP="00D40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apoiar:</w:t>
      </w:r>
    </w:p>
    <w:p w14:paraId="390E30AC" w14:textId="77777777" w:rsidR="00D405F5" w:rsidRPr="00A55E62" w:rsidRDefault="00D405F5" w:rsidP="00D405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fragilidade dependente do clima;</w:t>
      </w:r>
    </w:p>
    <w:p w14:paraId="706E1112" w14:textId="77777777" w:rsidR="00D405F5" w:rsidRPr="00A55E62" w:rsidRDefault="00D405F5" w:rsidP="00D405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avaliação probabilística;</w:t>
      </w:r>
    </w:p>
    <w:p w14:paraId="4991D088" w14:textId="77777777" w:rsidR="00D405F5" w:rsidRPr="00A55E62" w:rsidRDefault="00D405F5" w:rsidP="00D405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identificação de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pontos fracos estruturais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79F9C7F2" w14:textId="77777777" w:rsidR="00D405F5" w:rsidRPr="00A55E62" w:rsidRDefault="00D405F5" w:rsidP="00D40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comparação direta com o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índice de resiliência simplificado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que você está a desenvolver.</w:t>
      </w:r>
    </w:p>
    <w:p w14:paraId="7E78873F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Pode (e deve) ser citado na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revisão da literatura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,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metodologia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discussão crítica</w:t>
      </w:r>
      <w:r w:rsidRPr="00A55E62">
        <w:rPr>
          <w:rFonts w:eastAsia="Times New Roman" w:cs="Times New Roman"/>
          <w:sz w:val="24"/>
          <w:szCs w:val="24"/>
          <w:lang w:eastAsia="pt-PT"/>
        </w:rPr>
        <w:t>.</w:t>
      </w:r>
    </w:p>
    <w:p w14:paraId="70E9714C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634ED0C">
          <v:rect id="_x0000_i1033" style="width:0;height:1.5pt" o:hralign="center" o:hrstd="t" o:hr="t" fillcolor="#a0a0a0" stroked="f"/>
        </w:pict>
      </w:r>
    </w:p>
    <w:p w14:paraId="46AC62BA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6) Decisão final</w:t>
      </w:r>
    </w:p>
    <w:p w14:paraId="5E54459F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Emoji" w:eastAsia="Times New Roman" w:hAnsi="Segoe UI Emoji" w:cs="Segoe UI Emoji"/>
          <w:sz w:val="24"/>
          <w:szCs w:val="24"/>
          <w:lang w:eastAsia="pt-PT"/>
        </w:rPr>
        <w:t>✅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DECISÃO: GUARDAR NO CORPUS PRINCIPAL DA TESE</w:t>
      </w:r>
    </w:p>
    <w:p w14:paraId="61FFCC9C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Justificativa técnica: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  <w:t>O artigo:</w:t>
      </w:r>
    </w:p>
    <w:p w14:paraId="2D59736F" w14:textId="77777777" w:rsidR="00D405F5" w:rsidRPr="00A55E62" w:rsidRDefault="00D405F5" w:rsidP="00D40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lastRenderedPageBreak/>
        <w:t xml:space="preserve">trata explicitamente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linhas e corredores de transmissão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5BAE3F57" w14:textId="77777777" w:rsidR="00D405F5" w:rsidRPr="00A55E62" w:rsidRDefault="00D405F5" w:rsidP="00D40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modela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evento climático realista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46C0DA86" w14:textId="77777777" w:rsidR="00D405F5" w:rsidRPr="00A55E62" w:rsidRDefault="00D405F5" w:rsidP="00D40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usa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fragilidade física e probabilística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6F8C326D" w14:textId="77777777" w:rsidR="00D405F5" w:rsidRPr="00A55E62" w:rsidRDefault="00D405F5" w:rsidP="00D40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propõe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índices quantitativos consistentes</w:t>
      </w:r>
      <w:r w:rsidRPr="00A55E62">
        <w:rPr>
          <w:rFonts w:eastAsia="Times New Roman" w:cs="Times New Roman"/>
          <w:sz w:val="24"/>
          <w:szCs w:val="24"/>
          <w:lang w:eastAsia="pt-PT"/>
        </w:rPr>
        <w:t>;</w:t>
      </w:r>
    </w:p>
    <w:p w14:paraId="70776114" w14:textId="77777777" w:rsidR="00D405F5" w:rsidRPr="00A55E62" w:rsidRDefault="00D405F5" w:rsidP="00D405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 xml:space="preserve">é publicado em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IEEE TSG</w:t>
      </w:r>
      <w:r w:rsidRPr="00A55E62">
        <w:rPr>
          <w:rFonts w:eastAsia="Times New Roman" w:cs="Times New Roman"/>
          <w:sz w:val="24"/>
          <w:szCs w:val="24"/>
          <w:lang w:eastAsia="pt-PT"/>
        </w:rPr>
        <w:t>, com elevado rigor científico.</w:t>
      </w:r>
    </w:p>
    <w:p w14:paraId="2ED4223F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4776BD1A">
          <v:rect id="_x0000_i1034" style="width:0;height:1.5pt" o:hralign="center" o:hrstd="t" o:hr="t" fillcolor="#a0a0a0" stroked="f"/>
        </w:pict>
      </w:r>
    </w:p>
    <w:p w14:paraId="1B32869B" w14:textId="77777777" w:rsidR="00D405F5" w:rsidRPr="00A55E62" w:rsidRDefault="00D405F5" w:rsidP="00D405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A55E62">
        <w:rPr>
          <w:rFonts w:eastAsia="Times New Roman" w:cs="Times New Roman"/>
          <w:b/>
          <w:bCs/>
          <w:sz w:val="36"/>
          <w:szCs w:val="36"/>
          <w:lang w:eastAsia="pt-PT"/>
        </w:rPr>
        <w:t>7) Classificação resumida (para tabela futura)</w:t>
      </w:r>
    </w:p>
    <w:p w14:paraId="7C62B93A" w14:textId="77777777" w:rsidR="00D405F5" w:rsidRPr="00A55E62" w:rsidRDefault="00D405F5" w:rsidP="00D40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Decisão: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Guardado</w:t>
      </w:r>
    </w:p>
    <w:p w14:paraId="7268ECDD" w14:textId="77777777" w:rsidR="00D405F5" w:rsidRPr="00A55E62" w:rsidRDefault="00D405F5" w:rsidP="00D40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Foco: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Resiliência de sistemas de transmissão sob tufões</w:t>
      </w:r>
    </w:p>
    <w:p w14:paraId="3E53D1CC" w14:textId="77777777" w:rsidR="00D405F5" w:rsidRPr="00A55E62" w:rsidRDefault="00D405F5" w:rsidP="00D40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Nível de importância: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Altíssimo</w:t>
      </w:r>
    </w:p>
    <w:p w14:paraId="30A44E29" w14:textId="77777777" w:rsidR="00D405F5" w:rsidRPr="00A55E62" w:rsidRDefault="00D405F5" w:rsidP="00D40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Ponto da tese:</w:t>
      </w:r>
    </w:p>
    <w:p w14:paraId="2A574693" w14:textId="77777777" w:rsidR="00D405F5" w:rsidRPr="00A55E62" w:rsidRDefault="00D405F5" w:rsidP="00D405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Revisão da literatura</w:t>
      </w:r>
    </w:p>
    <w:p w14:paraId="713B3A69" w14:textId="77777777" w:rsidR="00D405F5" w:rsidRPr="00A55E62" w:rsidRDefault="00D405F5" w:rsidP="00D405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Resiliência das linhas de transmissão</w:t>
      </w:r>
    </w:p>
    <w:p w14:paraId="083CB327" w14:textId="77777777" w:rsidR="00D405F5" w:rsidRPr="00A55E62" w:rsidRDefault="00D405F5" w:rsidP="00D405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sz w:val="24"/>
          <w:szCs w:val="24"/>
          <w:lang w:eastAsia="pt-PT"/>
        </w:rPr>
        <w:t>Metodologia adotada</w:t>
      </w:r>
    </w:p>
    <w:p w14:paraId="1BB18CF4" w14:textId="77777777" w:rsidR="00D405F5" w:rsidRPr="00A55E62" w:rsidRDefault="00D405F5" w:rsidP="00D405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Pontuação (Resiliência de LT):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9,0 / 10</w:t>
      </w:r>
    </w:p>
    <w:p w14:paraId="05791F72" w14:textId="77777777" w:rsidR="00D405F5" w:rsidRPr="00A55E62" w:rsidRDefault="00D405F5" w:rsidP="00D405F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1415CD2">
          <v:rect id="_x0000_i1035" style="width:0;height:1.5pt" o:hralign="center" o:hrstd="t" o:hr="t" fillcolor="#a0a0a0" stroked="f"/>
        </w:pict>
      </w:r>
    </w:p>
    <w:p w14:paraId="12B811BD" w14:textId="77777777" w:rsidR="00D405F5" w:rsidRPr="00A55E62" w:rsidRDefault="00D405F5" w:rsidP="00D405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A55E62">
        <w:rPr>
          <w:rFonts w:ascii="Segoe UI Emoji" w:eastAsia="Times New Roman" w:hAnsi="Segoe UI Emoji" w:cs="Segoe UI Emoji"/>
          <w:sz w:val="24"/>
          <w:szCs w:val="24"/>
          <w:lang w:eastAsia="pt-PT"/>
        </w:rPr>
        <w:t>📌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Síntese final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  <w:t xml:space="preserve">Este artigo representa exatamente o tipo de abordagem que a sua tese pretende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superar por simplificação</w:t>
      </w:r>
      <w:r w:rsidRPr="00A55E62">
        <w:rPr>
          <w:rFonts w:eastAsia="Times New Roman" w:cs="Times New Roman"/>
          <w:sz w:val="24"/>
          <w:szCs w:val="24"/>
          <w:lang w:eastAsia="pt-PT"/>
        </w:rPr>
        <w:t>, mantendo o rigor físico e probabilístico.</w:t>
      </w:r>
      <w:r w:rsidRPr="00A55E62">
        <w:rPr>
          <w:rFonts w:eastAsia="Times New Roman" w:cs="Times New Roman"/>
          <w:sz w:val="24"/>
          <w:szCs w:val="24"/>
          <w:lang w:eastAsia="pt-PT"/>
        </w:rPr>
        <w:br/>
        <w:t xml:space="preserve">Ele é uma </w:t>
      </w:r>
      <w:r w:rsidRPr="00A55E62">
        <w:rPr>
          <w:rFonts w:eastAsia="Times New Roman" w:cs="Times New Roman"/>
          <w:b/>
          <w:bCs/>
          <w:sz w:val="24"/>
          <w:szCs w:val="24"/>
          <w:lang w:eastAsia="pt-PT"/>
        </w:rPr>
        <w:t>referência-chave</w:t>
      </w:r>
      <w:r w:rsidRPr="00A55E62">
        <w:rPr>
          <w:rFonts w:eastAsia="Times New Roman" w:cs="Times New Roman"/>
          <w:sz w:val="24"/>
          <w:szCs w:val="24"/>
          <w:lang w:eastAsia="pt-PT"/>
        </w:rPr>
        <w:t xml:space="preserve"> para justificar a relevância científica do seu trabalho.</w:t>
      </w:r>
    </w:p>
    <w:p w14:paraId="3A8D316A" w14:textId="77777777" w:rsidR="00D405F5" w:rsidRPr="00A55E62" w:rsidRDefault="00D405F5" w:rsidP="00D405F5"/>
    <w:p w14:paraId="2C5F6F1E" w14:textId="77777777" w:rsidR="00D405F5" w:rsidRDefault="00D405F5" w:rsidP="00C02687">
      <w:pPr>
        <w:rPr>
          <w:lang w:val="pt-BR"/>
        </w:rPr>
      </w:pPr>
    </w:p>
    <w:sectPr w:rsidR="00D405F5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2379"/>
    <w:multiLevelType w:val="multilevel"/>
    <w:tmpl w:val="FE54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D4C49"/>
    <w:multiLevelType w:val="multilevel"/>
    <w:tmpl w:val="A39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4F66"/>
    <w:multiLevelType w:val="multilevel"/>
    <w:tmpl w:val="6B2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114B"/>
    <w:multiLevelType w:val="multilevel"/>
    <w:tmpl w:val="2EB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D14D8"/>
    <w:multiLevelType w:val="multilevel"/>
    <w:tmpl w:val="B68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C449F"/>
    <w:multiLevelType w:val="multilevel"/>
    <w:tmpl w:val="96C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B6807"/>
    <w:multiLevelType w:val="multilevel"/>
    <w:tmpl w:val="529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50300"/>
    <w:multiLevelType w:val="multilevel"/>
    <w:tmpl w:val="B1E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C4FFE"/>
    <w:multiLevelType w:val="multilevel"/>
    <w:tmpl w:val="091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57493">
    <w:abstractNumId w:val="1"/>
  </w:num>
  <w:num w:numId="2" w16cid:durableId="2088529914">
    <w:abstractNumId w:val="4"/>
  </w:num>
  <w:num w:numId="3" w16cid:durableId="1215579749">
    <w:abstractNumId w:val="2"/>
  </w:num>
  <w:num w:numId="4" w16cid:durableId="1467238267">
    <w:abstractNumId w:val="6"/>
  </w:num>
  <w:num w:numId="5" w16cid:durableId="2039621200">
    <w:abstractNumId w:val="8"/>
  </w:num>
  <w:num w:numId="6" w16cid:durableId="1163660609">
    <w:abstractNumId w:val="0"/>
  </w:num>
  <w:num w:numId="7" w16cid:durableId="1311399757">
    <w:abstractNumId w:val="3"/>
  </w:num>
  <w:num w:numId="8" w16cid:durableId="1151940984">
    <w:abstractNumId w:val="5"/>
  </w:num>
  <w:num w:numId="9" w16cid:durableId="164513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8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B1727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C1242"/>
    <w:rsid w:val="00BD2C19"/>
    <w:rsid w:val="00BF51C6"/>
    <w:rsid w:val="00C02687"/>
    <w:rsid w:val="00C03A12"/>
    <w:rsid w:val="00CC6B35"/>
    <w:rsid w:val="00CE4C5C"/>
    <w:rsid w:val="00D25A09"/>
    <w:rsid w:val="00D36EA1"/>
    <w:rsid w:val="00D405F5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F01D7"/>
  <w15:chartTrackingRefBased/>
  <w15:docId w15:val="{1E06AAC6-8E8C-43C9-8186-6DD0FE5F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6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6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6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6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6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687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687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687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687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687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0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687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0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1713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2025-05-11T08:53:00Z</dcterms:created>
  <dcterms:modified xsi:type="dcterms:W3CDTF">2026-01-17T11:57:00Z</dcterms:modified>
</cp:coreProperties>
</file>