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DFB2" w14:textId="77777777" w:rsidR="00384B5A" w:rsidRDefault="00384B5A" w:rsidP="00384B5A">
      <w:r>
        <w:t>Título: Analysis of the Climatic Factors Influence on the Overhead Transmission Lines Reliability</w:t>
      </w:r>
    </w:p>
    <w:p w14:paraId="694A259B" w14:textId="77777777" w:rsidR="00384B5A" w:rsidRDefault="00384B5A" w:rsidP="00384B5A"/>
    <w:p w14:paraId="076A7E31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Autores: Olga Kondrateva, Ekaterina Myasnikova, Oleg Loktionov</w:t>
      </w:r>
    </w:p>
    <w:p w14:paraId="5665CC33" w14:textId="77777777" w:rsidR="00384B5A" w:rsidRPr="00384B5A" w:rsidRDefault="00384B5A" w:rsidP="00384B5A">
      <w:pPr>
        <w:rPr>
          <w:lang w:val="pt-BR"/>
        </w:rPr>
      </w:pPr>
    </w:p>
    <w:p w14:paraId="1B77DF11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Afiliações: National Research University MPEI, Rússia</w:t>
      </w:r>
    </w:p>
    <w:p w14:paraId="2E709252" w14:textId="77777777" w:rsidR="00384B5A" w:rsidRPr="00384B5A" w:rsidRDefault="00384B5A" w:rsidP="00384B5A">
      <w:pPr>
        <w:rPr>
          <w:lang w:val="pt-BR"/>
        </w:rPr>
      </w:pPr>
    </w:p>
    <w:p w14:paraId="60B54AAB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Publicado em: Environmental and Climate Technologies, vol. 24, no. 3, 2020</w:t>
      </w:r>
    </w:p>
    <w:p w14:paraId="2D40DB33" w14:textId="77777777" w:rsidR="00384B5A" w:rsidRPr="00384B5A" w:rsidRDefault="00384B5A" w:rsidP="00384B5A">
      <w:pPr>
        <w:rPr>
          <w:lang w:val="pt-BR"/>
        </w:rPr>
      </w:pPr>
    </w:p>
    <w:p w14:paraId="2B626F4C" w14:textId="2D5A8B86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Resumo do Abstract</w:t>
      </w:r>
    </w:p>
    <w:p w14:paraId="7A54868E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O estudo avalia o impacto dos fatores climáticos na confiabilidade das linhas de transmissão aéreas na Rússia, com foco na região da República do Bashkortostan. Utilizando dados operacionais de 2014 a 2018, foram calculadas taxas de falhas, tempos de interrupção e correlações com variáveis meteorológicas, especialmente vento. A previsão para 2025 indica aumento significativo das falhas, sugerindo necessidade de ações preventivas.</w:t>
      </w:r>
    </w:p>
    <w:p w14:paraId="7F55C4B2" w14:textId="77777777" w:rsidR="00384B5A" w:rsidRPr="00384B5A" w:rsidRDefault="00384B5A" w:rsidP="00384B5A">
      <w:pPr>
        <w:rPr>
          <w:lang w:val="pt-BR"/>
        </w:rPr>
      </w:pPr>
    </w:p>
    <w:p w14:paraId="17BAEE86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3. Introdução</w:t>
      </w:r>
    </w:p>
    <w:p w14:paraId="795D44BF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O artigo destaca a dificuldade de manter fornecimento estável devido ao desgaste da infraestrutura e aumento de eventos extremos. As OTLs são as mais afetadas, especialmente nos níveis de tensão de 6–10 kV, sendo vulneráveis a vento, raios e precipitações.</w:t>
      </w:r>
    </w:p>
    <w:p w14:paraId="65DF62BC" w14:textId="77777777" w:rsidR="00384B5A" w:rsidRPr="00384B5A" w:rsidRDefault="00384B5A" w:rsidP="00384B5A">
      <w:pPr>
        <w:rPr>
          <w:lang w:val="pt-BR"/>
        </w:rPr>
      </w:pPr>
    </w:p>
    <w:p w14:paraId="0A234AD3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4. Metodologia</w:t>
      </w:r>
    </w:p>
    <w:p w14:paraId="06FA48D0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Baseou-se em dados de falhas e clima da operadora Bashkirenergo, divididos por região (norte/sul). As falhas foram classificadas por tipo de evento climático. Utilizou-se análise estatística com coeficiente de correlação de Pearson, com previsão até 2025 com base em tendência linear.</w:t>
      </w:r>
    </w:p>
    <w:p w14:paraId="1A7218A6" w14:textId="77777777" w:rsidR="00384B5A" w:rsidRPr="00384B5A" w:rsidRDefault="00384B5A" w:rsidP="00384B5A">
      <w:pPr>
        <w:rPr>
          <w:lang w:val="pt-BR"/>
        </w:rPr>
      </w:pPr>
    </w:p>
    <w:p w14:paraId="4AC803F7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5. Resultados</w:t>
      </w:r>
    </w:p>
    <w:p w14:paraId="764D019B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As falhas em OTLs de 6–10 kV representaram até 95% dos casos. Ventos entre 10–20 m/s mostraram correlação forte com interrupções. A previsão indica aumento de até 66% de falhas na região norte e 43% no sul até 2025.</w:t>
      </w:r>
    </w:p>
    <w:p w14:paraId="76E6BBAC" w14:textId="77777777" w:rsidR="00384B5A" w:rsidRPr="00384B5A" w:rsidRDefault="00384B5A" w:rsidP="00384B5A">
      <w:pPr>
        <w:rPr>
          <w:lang w:val="pt-BR"/>
        </w:rPr>
      </w:pPr>
    </w:p>
    <w:p w14:paraId="03438036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6. Discussão</w:t>
      </w:r>
    </w:p>
    <w:p w14:paraId="4F9A567B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A metodologia comprova que ventos moderados causam mais impacto que eventos extremos. A integração com dados regionais permite estratégias direcionadas de mitigação, como manutenção seletiva e substituição preventiva de componentes vulneráveis.</w:t>
      </w:r>
    </w:p>
    <w:p w14:paraId="723D8E3B" w14:textId="77777777" w:rsidR="00384B5A" w:rsidRPr="00384B5A" w:rsidRDefault="00384B5A" w:rsidP="00384B5A">
      <w:pPr>
        <w:rPr>
          <w:lang w:val="pt-BR"/>
        </w:rPr>
      </w:pPr>
    </w:p>
    <w:p w14:paraId="6EF495BC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7. Conclusão Crítica</w:t>
      </w:r>
    </w:p>
    <w:p w14:paraId="3821311A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O artigo é relevante por associar eventos meteorológicos moderados com falhas significativas e usar modelos preditivos para quantificar o impacto futuro. A abordagem é aplicável a outras regiões e reforça a urgência de medidas de adaptação às mudanças climáticas.</w:t>
      </w:r>
    </w:p>
    <w:p w14:paraId="6C658A2F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lastRenderedPageBreak/>
        <w:t>8. Resumo dos Achados Principais</w:t>
      </w:r>
    </w:p>
    <w:p w14:paraId="0E7321D1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- OTLs de 6–10 kV são mais vulneráveis;</w:t>
      </w:r>
    </w:p>
    <w:p w14:paraId="71E50266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- Fatores críticos: vento, raios e chuva;</w:t>
      </w:r>
    </w:p>
    <w:p w14:paraId="7999FB16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- Fortes correlações com faixas de vento de 10–20 m/s;</w:t>
      </w:r>
    </w:p>
    <w:p w14:paraId="23427AE6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- Previsão de aumento de 53% nas falhas até 2025;</w:t>
      </w:r>
    </w:p>
    <w:p w14:paraId="48717F6E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>- Proposta de ações preventivas baseadas em dados regionais.</w:t>
      </w:r>
    </w:p>
    <w:p w14:paraId="43D01311" w14:textId="77777777" w:rsidR="00384B5A" w:rsidRPr="00384B5A" w:rsidRDefault="00384B5A" w:rsidP="00384B5A">
      <w:pPr>
        <w:rPr>
          <w:lang w:val="pt-BR"/>
        </w:rPr>
      </w:pPr>
    </w:p>
    <w:p w14:paraId="45326971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9. Descrição Técnica de Figuras, Tabelas e Gráficos</w:t>
      </w:r>
    </w:p>
    <w:p w14:paraId="3A03DCA8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• Fig. 1: Causas de falhas em OTLs e cabos subterrâneos;</w:t>
      </w:r>
    </w:p>
    <w:p w14:paraId="4134F33F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• Fig. 3: Taxa de falhas por km (</w:t>
      </w:r>
      <w:r>
        <w:t>λ</w:t>
      </w:r>
      <w:r w:rsidRPr="00384B5A">
        <w:rPr>
          <w:lang w:val="pt-BR"/>
        </w:rPr>
        <w:t>₀) e tempo de interrupção por fator climático;</w:t>
      </w:r>
    </w:p>
    <w:p w14:paraId="2764860A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• Fig. 4: Falhas vs. velocidade do vento em faixas de 5 m/s;</w:t>
      </w:r>
    </w:p>
    <w:p w14:paraId="5676F26A" w14:textId="77777777" w:rsidR="00384B5A" w:rsidRPr="00384B5A" w:rsidRDefault="00384B5A" w:rsidP="00384B5A">
      <w:pPr>
        <w:rPr>
          <w:lang w:val="pt-BR"/>
        </w:rPr>
      </w:pPr>
      <w:r w:rsidRPr="00384B5A">
        <w:rPr>
          <w:lang w:val="pt-BR"/>
        </w:rPr>
        <w:t>• Fig. 5: Projeção do número de eventos de vento até 2025;</w:t>
      </w:r>
    </w:p>
    <w:p w14:paraId="2C3EC2F9" w14:textId="77777777" w:rsidR="00384B5A" w:rsidRDefault="00384B5A" w:rsidP="00384B5A">
      <w:pPr>
        <w:rPr>
          <w:lang w:val="pt-BR"/>
        </w:rPr>
      </w:pPr>
      <w:r w:rsidRPr="00384B5A">
        <w:rPr>
          <w:lang w:val="pt-BR"/>
        </w:rPr>
        <w:t xml:space="preserve">• Tabelas 2–4: </w:t>
      </w:r>
      <w:r>
        <w:t>λ</w:t>
      </w:r>
      <w:r w:rsidRPr="00384B5A">
        <w:rPr>
          <w:lang w:val="pt-BR"/>
        </w:rPr>
        <w:t>₀ por região, por classe de tensão, e correlações estatísticas.</w:t>
      </w:r>
    </w:p>
    <w:p w14:paraId="27475CB0" w14:textId="77777777" w:rsidR="00264333" w:rsidRDefault="00264333" w:rsidP="00384B5A">
      <w:pPr>
        <w:rPr>
          <w:lang w:val="pt-BR"/>
        </w:rPr>
      </w:pPr>
    </w:p>
    <w:p w14:paraId="6E243D5C" w14:textId="77777777" w:rsidR="00264333" w:rsidRPr="00007C95" w:rsidRDefault="00264333" w:rsidP="00264333">
      <w:r w:rsidRPr="00007C95">
        <w:t>2020 Analysis of the Climatic Factors Influence on the Overhead Transmission Lines Reliability-Sciendo</w:t>
      </w:r>
    </w:p>
    <w:p w14:paraId="7F52D493" w14:textId="77777777" w:rsidR="00264333" w:rsidRPr="00007C95" w:rsidRDefault="00264333" w:rsidP="00264333"/>
    <w:p w14:paraId="27B209CF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t>Artigo (2020)</w:t>
      </w:r>
    </w:p>
    <w:p w14:paraId="742F0E28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Título: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07C95">
        <w:rPr>
          <w:rFonts w:eastAsia="Times New Roman" w:cs="Times New Roman"/>
          <w:i/>
          <w:iCs/>
          <w:sz w:val="24"/>
          <w:szCs w:val="24"/>
          <w:lang w:eastAsia="pt-PT"/>
        </w:rPr>
        <w:t>Analysis of the Climatic Factors Influence on the Overhead Transmission Lines Reliability</w:t>
      </w:r>
      <w:r w:rsidRPr="00007C95">
        <w:rPr>
          <w:rFonts w:eastAsia="Times New Roman" w:cs="Times New Roman"/>
          <w:sz w:val="24"/>
          <w:szCs w:val="24"/>
          <w:lang w:eastAsia="pt-PT"/>
        </w:rPr>
        <w:br/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Autores: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Olga Kondrateva; Ekaterina Myasnikova; Oleg Loktionov</w:t>
      </w:r>
      <w:r w:rsidRPr="00007C95">
        <w:rPr>
          <w:rFonts w:eastAsia="Times New Roman" w:cs="Times New Roman"/>
          <w:sz w:val="24"/>
          <w:szCs w:val="24"/>
          <w:lang w:eastAsia="pt-PT"/>
        </w:rPr>
        <w:br/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Fonte: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07C95">
        <w:rPr>
          <w:rFonts w:eastAsia="Times New Roman" w:cs="Times New Roman"/>
          <w:i/>
          <w:iCs/>
          <w:sz w:val="24"/>
          <w:szCs w:val="24"/>
          <w:lang w:eastAsia="pt-PT"/>
        </w:rPr>
        <w:t>Environmental and Climate Technologies</w:t>
      </w:r>
      <w:r w:rsidRPr="00007C95">
        <w:rPr>
          <w:rFonts w:eastAsia="Times New Roman" w:cs="Times New Roman"/>
          <w:sz w:val="24"/>
          <w:szCs w:val="24"/>
          <w:lang w:eastAsia="pt-PT"/>
        </w:rPr>
        <w:t>, vol. 24, n.º 3, pp. 201–214</w:t>
      </w:r>
      <w:r w:rsidRPr="00007C95">
        <w:rPr>
          <w:rFonts w:eastAsia="Times New Roman" w:cs="Times New Roman"/>
          <w:sz w:val="24"/>
          <w:szCs w:val="24"/>
          <w:lang w:eastAsia="pt-PT"/>
        </w:rPr>
        <w:br/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Ano: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2020</w:t>
      </w:r>
      <w:r w:rsidRPr="00007C95">
        <w:rPr>
          <w:rFonts w:eastAsia="Times New Roman" w:cs="Times New Roman"/>
          <w:sz w:val="24"/>
          <w:szCs w:val="24"/>
          <w:lang w:eastAsia="pt-PT"/>
        </w:rPr>
        <w:br/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DOI: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10.2478/rtuect-2020-0097</w:t>
      </w:r>
    </w:p>
    <w:p w14:paraId="4C3F0B11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2020 Analysis of the Climatic F…</w:t>
      </w:r>
    </w:p>
    <w:p w14:paraId="299872CE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72F988E0">
          <v:rect id="_x0000_i1025" style="width:0;height:1.5pt" o:hralign="center" o:hrstd="t" o:hr="t" fillcolor="#a0a0a0" stroked="f"/>
        </w:pict>
      </w:r>
    </w:p>
    <w:p w14:paraId="58790454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t>1) Foco real do artigo</w:t>
      </w:r>
    </w:p>
    <w:p w14:paraId="35A7ECE6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O artigo analisa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diretamente a influência de fatores climáticos na confiabilidade de linhas aéreas de transmissão (OTL)</w:t>
      </w:r>
      <w:r w:rsidRPr="00007C95">
        <w:rPr>
          <w:rFonts w:eastAsia="Times New Roman" w:cs="Times New Roman"/>
          <w:sz w:val="24"/>
          <w:szCs w:val="24"/>
          <w:lang w:eastAsia="pt-PT"/>
        </w:rPr>
        <w:t>, com base em:</w:t>
      </w:r>
    </w:p>
    <w:p w14:paraId="0637F9FE" w14:textId="77777777" w:rsidR="00264333" w:rsidRPr="00007C95" w:rsidRDefault="00264333" w:rsidP="0026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dados reais de falhas e interrupções;</w:t>
      </w:r>
    </w:p>
    <w:p w14:paraId="2C7E2EDC" w14:textId="77777777" w:rsidR="00264333" w:rsidRPr="00007C95" w:rsidRDefault="00264333" w:rsidP="0026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correlação estatística entre eventos climáticos e falhas;</w:t>
      </w:r>
    </w:p>
    <w:p w14:paraId="7FD8807D" w14:textId="77777777" w:rsidR="00264333" w:rsidRPr="00007C95" w:rsidRDefault="00264333" w:rsidP="0026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análise por classe de tensão;</w:t>
      </w:r>
    </w:p>
    <w:p w14:paraId="2FC6420F" w14:textId="77777777" w:rsidR="00264333" w:rsidRPr="00007C95" w:rsidRDefault="00264333" w:rsidP="0026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projeção futura do impacto climático até 2025.</w:t>
      </w:r>
    </w:p>
    <w:p w14:paraId="63E0FCA8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lastRenderedPageBreak/>
        <w:t>Os principais fatores climáticos estudados são:</w:t>
      </w:r>
    </w:p>
    <w:p w14:paraId="4949B69C" w14:textId="77777777" w:rsidR="00264333" w:rsidRPr="00007C95" w:rsidRDefault="00264333" w:rsidP="0026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vento</w:t>
      </w:r>
      <w:r w:rsidRPr="00007C95">
        <w:rPr>
          <w:rFonts w:eastAsia="Times New Roman" w:cs="Times New Roman"/>
          <w:sz w:val="24"/>
          <w:szCs w:val="24"/>
          <w:lang w:eastAsia="pt-PT"/>
        </w:rPr>
        <w:t>;</w:t>
      </w:r>
    </w:p>
    <w:p w14:paraId="2BEF68FF" w14:textId="77777777" w:rsidR="00264333" w:rsidRPr="00007C95" w:rsidRDefault="00264333" w:rsidP="0026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tempestades elétricas (lightning storm)</w:t>
      </w:r>
      <w:r w:rsidRPr="00007C95">
        <w:rPr>
          <w:rFonts w:eastAsia="Times New Roman" w:cs="Times New Roman"/>
          <w:sz w:val="24"/>
          <w:szCs w:val="24"/>
          <w:lang w:eastAsia="pt-PT"/>
        </w:rPr>
        <w:t>;</w:t>
      </w:r>
    </w:p>
    <w:p w14:paraId="1A9BCED0" w14:textId="77777777" w:rsidR="00264333" w:rsidRPr="00007C95" w:rsidRDefault="00264333" w:rsidP="0026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precipitação sólida e líquida.</w:t>
      </w:r>
    </w:p>
    <w:p w14:paraId="6659C2AC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O foco é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explicitamente físico-operacional sobre linhas aéreas</w:t>
      </w:r>
      <w:r w:rsidRPr="00007C95">
        <w:rPr>
          <w:rFonts w:eastAsia="Times New Roman" w:cs="Times New Roman"/>
          <w:sz w:val="24"/>
          <w:szCs w:val="24"/>
          <w:lang w:eastAsia="pt-PT"/>
        </w:rPr>
        <w:t>, não apenas sistêmico.</w:t>
      </w:r>
    </w:p>
    <w:p w14:paraId="1C8E3AC5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A04FCDF">
          <v:rect id="_x0000_i1026" style="width:0;height:1.5pt" o:hralign="center" o:hrstd="t" o:hr="t" fillcolor="#a0a0a0" stroked="f"/>
        </w:pict>
      </w:r>
    </w:p>
    <w:p w14:paraId="17715BD4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t>2) Contribuições técnicas (altamente relevantes)</w:t>
      </w:r>
    </w:p>
    <w:p w14:paraId="72DC99B2" w14:textId="77777777" w:rsidR="00264333" w:rsidRPr="00007C95" w:rsidRDefault="00264333" w:rsidP="002643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07C95">
        <w:rPr>
          <w:rFonts w:eastAsia="Times New Roman" w:cs="Times New Roman"/>
          <w:b/>
          <w:bCs/>
          <w:sz w:val="27"/>
          <w:szCs w:val="27"/>
          <w:lang w:eastAsia="pt-PT"/>
        </w:rPr>
        <w:t>2.1 Relação clima → falha física de LT</w:t>
      </w:r>
    </w:p>
    <w:p w14:paraId="14013F06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O artigo demonstra, com dados reais (2014–2018), que:</w:t>
      </w:r>
    </w:p>
    <w:p w14:paraId="0EDB7850" w14:textId="77777777" w:rsidR="00264333" w:rsidRPr="00007C95" w:rsidRDefault="00264333" w:rsidP="0026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OTL são os elementos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mais vulneráveis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do sistema elétrico;</w:t>
      </w:r>
    </w:p>
    <w:p w14:paraId="14A35235" w14:textId="77777777" w:rsidR="00264333" w:rsidRPr="00007C95" w:rsidRDefault="00264333" w:rsidP="0026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falhas estão fortemente associadas a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vento e descargas atmosféricas</w:t>
      </w:r>
      <w:r w:rsidRPr="00007C95">
        <w:rPr>
          <w:rFonts w:eastAsia="Times New Roman" w:cs="Times New Roman"/>
          <w:sz w:val="24"/>
          <w:szCs w:val="24"/>
          <w:lang w:eastAsia="pt-PT"/>
        </w:rPr>
        <w:t>;</w:t>
      </w:r>
    </w:p>
    <w:p w14:paraId="5895771F" w14:textId="77777777" w:rsidR="00264333" w:rsidRPr="00007C95" w:rsidRDefault="00264333" w:rsidP="0026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a confiabilidade varia significativamente por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classe de tensão</w:t>
      </w:r>
      <w:r w:rsidRPr="00007C95">
        <w:rPr>
          <w:rFonts w:eastAsia="Times New Roman" w:cs="Times New Roman"/>
          <w:sz w:val="24"/>
          <w:szCs w:val="24"/>
          <w:lang w:eastAsia="pt-PT"/>
        </w:rPr>
        <w:t>, com destaque para 6–10 kV.</w:t>
      </w:r>
    </w:p>
    <w:p w14:paraId="7907BF1E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São analisados indicadores como:</w:t>
      </w:r>
    </w:p>
    <w:p w14:paraId="393BE074" w14:textId="77777777" w:rsidR="00264333" w:rsidRPr="00007C95" w:rsidRDefault="00264333" w:rsidP="00264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número de falhas;</w:t>
      </w:r>
    </w:p>
    <w:p w14:paraId="491E9409" w14:textId="77777777" w:rsidR="00264333" w:rsidRPr="00007C95" w:rsidRDefault="00264333" w:rsidP="00264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taxa de falha por km de linha (λ₀);</w:t>
      </w:r>
    </w:p>
    <w:p w14:paraId="35220B91" w14:textId="77777777" w:rsidR="00264333" w:rsidRPr="00007C95" w:rsidRDefault="00264333" w:rsidP="00264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tempo de interrupção (proxy de SAIDI).</w:t>
      </w:r>
    </w:p>
    <w:p w14:paraId="76227B89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Há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ligação direta entre agente climático e falha da linha</w:t>
      </w:r>
      <w:r w:rsidRPr="00007C95">
        <w:rPr>
          <w:rFonts w:eastAsia="Times New Roman" w:cs="Times New Roman"/>
          <w:sz w:val="24"/>
          <w:szCs w:val="24"/>
          <w:lang w:eastAsia="pt-PT"/>
        </w:rPr>
        <w:t>, algo central para a sua tese.</w:t>
      </w:r>
    </w:p>
    <w:p w14:paraId="23EA2A03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5C65EED2">
          <v:rect id="_x0000_i1027" style="width:0;height:1.5pt" o:hralign="center" o:hrstd="t" o:hr="t" fillcolor="#a0a0a0" stroked="f"/>
        </w:pict>
      </w:r>
    </w:p>
    <w:p w14:paraId="695A76A6" w14:textId="77777777" w:rsidR="00264333" w:rsidRPr="00007C95" w:rsidRDefault="00264333" w:rsidP="002643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07C95">
        <w:rPr>
          <w:rFonts w:eastAsia="Times New Roman" w:cs="Times New Roman"/>
          <w:b/>
          <w:bCs/>
          <w:sz w:val="27"/>
          <w:szCs w:val="27"/>
          <w:lang w:eastAsia="pt-PT"/>
        </w:rPr>
        <w:t>2.2 Métrica objetiva de confiabilidade de LT</w:t>
      </w:r>
    </w:p>
    <w:p w14:paraId="4E86BC09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O artigo utiliza uma métrica clara e útil:</w:t>
      </w:r>
    </w:p>
    <w:p w14:paraId="21E8772B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L⋅T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br/>
          </m:r>
        </m:oMath>
      </m:oMathPara>
    </w:p>
    <w:p w14:paraId="6E30748D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onde:</w:t>
      </w:r>
    </w:p>
    <w:p w14:paraId="53F42D72" w14:textId="77777777" w:rsidR="00264333" w:rsidRPr="00007C95" w:rsidRDefault="00264333" w:rsidP="00264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0</m:t>
            </m:r>
          </m:sub>
        </m:sSub>
      </m:oMath>
      <w:r w:rsidRPr="00007C95">
        <w:rPr>
          <w:rFonts w:eastAsia="Times New Roman" w:cs="Times New Roman"/>
          <w:sz w:val="24"/>
          <w:szCs w:val="24"/>
          <w:lang w:eastAsia="pt-PT"/>
        </w:rPr>
        <w:t>= número de interrupções;</w:t>
      </w:r>
    </w:p>
    <w:p w14:paraId="598061BA" w14:textId="77777777" w:rsidR="00264333" w:rsidRPr="00007C95" w:rsidRDefault="00264333" w:rsidP="00264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L</m:t>
        </m:r>
      </m:oMath>
      <w:r w:rsidRPr="00007C95">
        <w:rPr>
          <w:rFonts w:eastAsia="Times New Roman" w:cs="Times New Roman"/>
          <w:sz w:val="24"/>
          <w:szCs w:val="24"/>
          <w:lang w:eastAsia="pt-PT"/>
        </w:rPr>
        <w:t>= comprimento da LT;</w:t>
      </w:r>
    </w:p>
    <w:p w14:paraId="2D320B51" w14:textId="77777777" w:rsidR="00264333" w:rsidRPr="00007C95" w:rsidRDefault="00264333" w:rsidP="00264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T</m:t>
        </m:r>
      </m:oMath>
      <w:r w:rsidRPr="00007C95">
        <w:rPr>
          <w:rFonts w:eastAsia="Times New Roman" w:cs="Times New Roman"/>
          <w:sz w:val="24"/>
          <w:szCs w:val="24"/>
          <w:lang w:eastAsia="pt-PT"/>
        </w:rPr>
        <w:t>= tempo de observação.</w:t>
      </w:r>
    </w:p>
    <w:p w14:paraId="73E8E7BB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Essa métrica:</w:t>
      </w:r>
    </w:p>
    <w:p w14:paraId="490EF1CF" w14:textId="77777777" w:rsidR="00264333" w:rsidRPr="00007C95" w:rsidRDefault="00264333" w:rsidP="00264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é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intrínseca à linha</w:t>
      </w:r>
      <w:r w:rsidRPr="00007C95">
        <w:rPr>
          <w:rFonts w:eastAsia="Times New Roman" w:cs="Times New Roman"/>
          <w:sz w:val="24"/>
          <w:szCs w:val="24"/>
          <w:lang w:eastAsia="pt-PT"/>
        </w:rPr>
        <w:t>;</w:t>
      </w:r>
    </w:p>
    <w:p w14:paraId="5D5F7C39" w14:textId="77777777" w:rsidR="00264333" w:rsidRPr="00264333" w:rsidRDefault="00264333" w:rsidP="00264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>permite comparação entre regiões e classes de tensão;</w:t>
      </w:r>
    </w:p>
    <w:p w14:paraId="332D715F" w14:textId="77777777" w:rsidR="00264333" w:rsidRPr="00264333" w:rsidRDefault="00264333" w:rsidP="00264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>pode ser integrada em índices de resiliência.</w:t>
      </w:r>
    </w:p>
    <w:p w14:paraId="71631B1B" w14:textId="77777777" w:rsidR="00264333" w:rsidRPr="00264333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264333">
        <w:rPr>
          <w:rFonts w:eastAsia="Times New Roman" w:cs="Times New Roman"/>
          <w:sz w:val="24"/>
          <w:szCs w:val="24"/>
          <w:lang w:val="pt-PT" w:eastAsia="pt-PT"/>
        </w:rPr>
        <w:t xml:space="preserve"> Esta métrica é </w:t>
      </w:r>
      <w:r w:rsidRPr="00264333">
        <w:rPr>
          <w:rFonts w:eastAsia="Times New Roman" w:cs="Times New Roman"/>
          <w:b/>
          <w:bCs/>
          <w:sz w:val="24"/>
          <w:szCs w:val="24"/>
          <w:lang w:val="pt-PT" w:eastAsia="pt-PT"/>
        </w:rPr>
        <w:t>compatível e reaproveitável</w:t>
      </w:r>
      <w:r w:rsidRPr="00264333">
        <w:rPr>
          <w:rFonts w:eastAsia="Times New Roman" w:cs="Times New Roman"/>
          <w:sz w:val="24"/>
          <w:szCs w:val="24"/>
          <w:lang w:val="pt-PT" w:eastAsia="pt-PT"/>
        </w:rPr>
        <w:t xml:space="preserve"> na sua metodologia.</w:t>
      </w:r>
    </w:p>
    <w:p w14:paraId="0213D399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4D87D923">
          <v:rect id="_x0000_i1028" style="width:0;height:1.5pt" o:hralign="center" o:hrstd="t" o:hr="t" fillcolor="#a0a0a0" stroked="f"/>
        </w:pict>
      </w:r>
    </w:p>
    <w:p w14:paraId="4DA94090" w14:textId="77777777" w:rsidR="00264333" w:rsidRPr="00264333" w:rsidRDefault="00264333" w:rsidP="002643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264333">
        <w:rPr>
          <w:rFonts w:eastAsia="Times New Roman" w:cs="Times New Roman"/>
          <w:b/>
          <w:bCs/>
          <w:sz w:val="27"/>
          <w:szCs w:val="27"/>
          <w:lang w:val="pt-PT" w:eastAsia="pt-PT"/>
        </w:rPr>
        <w:t>2.3 Análise estatística robusta (vento)</w:t>
      </w:r>
    </w:p>
    <w:p w14:paraId="711EC60E" w14:textId="77777777" w:rsidR="00264333" w:rsidRPr="00264333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>O estudo apresenta:</w:t>
      </w:r>
    </w:p>
    <w:p w14:paraId="44A0ED96" w14:textId="77777777" w:rsidR="00264333" w:rsidRPr="00264333" w:rsidRDefault="00264333" w:rsidP="00264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 xml:space="preserve">análise de falhas por </w:t>
      </w:r>
      <w:r w:rsidRPr="00264333">
        <w:rPr>
          <w:rFonts w:eastAsia="Times New Roman" w:cs="Times New Roman"/>
          <w:b/>
          <w:bCs/>
          <w:sz w:val="24"/>
          <w:szCs w:val="24"/>
          <w:lang w:val="pt-PT" w:eastAsia="pt-PT"/>
        </w:rPr>
        <w:t>intervalos de velocidade do vento</w:t>
      </w:r>
      <w:r w:rsidRPr="00264333">
        <w:rPr>
          <w:rFonts w:eastAsia="Times New Roman" w:cs="Times New Roman"/>
          <w:sz w:val="24"/>
          <w:szCs w:val="24"/>
          <w:lang w:val="pt-PT" w:eastAsia="pt-PT"/>
        </w:rPr>
        <w:t xml:space="preserve"> (0–5, 5–10, …, 20–25 m/s);</w:t>
      </w:r>
    </w:p>
    <w:p w14:paraId="6CC77FE9" w14:textId="77777777" w:rsidR="00264333" w:rsidRPr="00264333" w:rsidRDefault="00264333" w:rsidP="00264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 xml:space="preserve">análise de </w:t>
      </w:r>
      <w:r w:rsidRPr="00264333">
        <w:rPr>
          <w:rFonts w:eastAsia="Times New Roman" w:cs="Times New Roman"/>
          <w:b/>
          <w:bCs/>
          <w:sz w:val="24"/>
          <w:szCs w:val="24"/>
          <w:lang w:val="pt-PT" w:eastAsia="pt-PT"/>
        </w:rPr>
        <w:t>tempo de interrupção vs. vento</w:t>
      </w:r>
      <w:r w:rsidRPr="00264333">
        <w:rPr>
          <w:rFonts w:eastAsia="Times New Roman" w:cs="Times New Roman"/>
          <w:sz w:val="24"/>
          <w:szCs w:val="24"/>
          <w:lang w:val="pt-PT" w:eastAsia="pt-PT"/>
        </w:rPr>
        <w:t>;</w:t>
      </w:r>
    </w:p>
    <w:p w14:paraId="3C83077A" w14:textId="77777777" w:rsidR="00264333" w:rsidRPr="00007C95" w:rsidRDefault="00264333" w:rsidP="00264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correlação de Pearson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entre:</w:t>
      </w:r>
    </w:p>
    <w:p w14:paraId="09C2BAA6" w14:textId="77777777" w:rsidR="00264333" w:rsidRPr="00264333" w:rsidRDefault="00264333" w:rsidP="002643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>número de falhas de LT;</w:t>
      </w:r>
    </w:p>
    <w:p w14:paraId="0E7F384B" w14:textId="77777777" w:rsidR="00264333" w:rsidRPr="00264333" w:rsidRDefault="00264333" w:rsidP="002643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>número de ocorrências de vento por classe de velocidade.</w:t>
      </w:r>
    </w:p>
    <w:p w14:paraId="419F3B63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Resultados-chave:</w:t>
      </w:r>
    </w:p>
    <w:p w14:paraId="14B609E7" w14:textId="77777777" w:rsidR="00264333" w:rsidRPr="00264333" w:rsidRDefault="00264333" w:rsidP="00264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264333">
        <w:rPr>
          <w:rFonts w:eastAsia="Times New Roman" w:cs="Times New Roman"/>
          <w:sz w:val="24"/>
          <w:szCs w:val="24"/>
          <w:lang w:val="pt-PT" w:eastAsia="pt-PT"/>
        </w:rPr>
        <w:t xml:space="preserve">correlações fortes (até </w:t>
      </w:r>
      <w:r w:rsidRPr="00264333">
        <w:rPr>
          <w:rFonts w:eastAsia="Times New Roman" w:cs="Times New Roman"/>
          <w:b/>
          <w:bCs/>
          <w:sz w:val="24"/>
          <w:szCs w:val="24"/>
          <w:lang w:val="pt-PT" w:eastAsia="pt-PT"/>
        </w:rPr>
        <w:t>0,88</w:t>
      </w:r>
      <w:r w:rsidRPr="00264333">
        <w:rPr>
          <w:rFonts w:eastAsia="Times New Roman" w:cs="Times New Roman"/>
          <w:sz w:val="24"/>
          <w:szCs w:val="24"/>
          <w:lang w:val="pt-PT" w:eastAsia="pt-PT"/>
        </w:rPr>
        <w:t>) entre vento e falhas;</w:t>
      </w:r>
    </w:p>
    <w:p w14:paraId="26A69A97" w14:textId="77777777" w:rsidR="00264333" w:rsidRPr="00007C95" w:rsidRDefault="00264333" w:rsidP="00264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maior sensibilidade até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20 m/s</w:t>
      </w:r>
      <w:r w:rsidRPr="00007C95">
        <w:rPr>
          <w:rFonts w:eastAsia="Times New Roman" w:cs="Times New Roman"/>
          <w:sz w:val="24"/>
          <w:szCs w:val="24"/>
          <w:lang w:eastAsia="pt-PT"/>
        </w:rPr>
        <w:t>, não apenas ventos extremos;</w:t>
      </w:r>
    </w:p>
    <w:p w14:paraId="60856B1F" w14:textId="77777777" w:rsidR="00264333" w:rsidRPr="00007C95" w:rsidRDefault="00264333" w:rsidP="00264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comportamento diferenciado por região.</w:t>
      </w:r>
    </w:p>
    <w:p w14:paraId="796B5D0C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Evidência clara de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fragilidade climática progressiva</w:t>
      </w:r>
      <w:r w:rsidRPr="00007C95">
        <w:rPr>
          <w:rFonts w:eastAsia="Times New Roman" w:cs="Times New Roman"/>
          <w:sz w:val="24"/>
          <w:szCs w:val="24"/>
          <w:lang w:eastAsia="pt-PT"/>
        </w:rPr>
        <w:t>, não binária.</w:t>
      </w:r>
    </w:p>
    <w:p w14:paraId="26DD9EEE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FA1EE4D">
          <v:rect id="_x0000_i1029" style="width:0;height:1.5pt" o:hralign="center" o:hrstd="t" o:hr="t" fillcolor="#a0a0a0" stroked="f"/>
        </w:pict>
      </w:r>
    </w:p>
    <w:p w14:paraId="1F26D6D2" w14:textId="77777777" w:rsidR="00264333" w:rsidRPr="00007C95" w:rsidRDefault="00264333" w:rsidP="002643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07C95">
        <w:rPr>
          <w:rFonts w:eastAsia="Times New Roman" w:cs="Times New Roman"/>
          <w:b/>
          <w:bCs/>
          <w:sz w:val="27"/>
          <w:szCs w:val="27"/>
          <w:lang w:eastAsia="pt-PT"/>
        </w:rPr>
        <w:t>2.4 Projeção futura (clima → falhas)</w:t>
      </w:r>
    </w:p>
    <w:p w14:paraId="300BFF45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O artigo vai além da análise histórica e:</w:t>
      </w:r>
    </w:p>
    <w:p w14:paraId="574CD0C2" w14:textId="77777777" w:rsidR="00264333" w:rsidRPr="00007C95" w:rsidRDefault="00264333" w:rsidP="00264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utiliza tendências observadas (2006–2019);</w:t>
      </w:r>
    </w:p>
    <w:p w14:paraId="38F18263" w14:textId="77777777" w:rsidR="00264333" w:rsidRPr="00007C95" w:rsidRDefault="00264333" w:rsidP="00264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projeta impacto climático até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2025</w:t>
      </w:r>
      <w:r w:rsidRPr="00007C95">
        <w:rPr>
          <w:rFonts w:eastAsia="Times New Roman" w:cs="Times New Roman"/>
          <w:sz w:val="24"/>
          <w:szCs w:val="24"/>
          <w:lang w:eastAsia="pt-PT"/>
        </w:rPr>
        <w:t>;</w:t>
      </w:r>
    </w:p>
    <w:p w14:paraId="2423D6A0" w14:textId="77777777" w:rsidR="00264333" w:rsidRPr="00007C95" w:rsidRDefault="00264333" w:rsidP="00264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estima aumento total de falhas de OTL de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≈53%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na região estudada.</w:t>
      </w:r>
    </w:p>
    <w:p w14:paraId="0DED769E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Introduz a noção de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resiliência dinâmica no tempo</w:t>
      </w:r>
      <w:r w:rsidRPr="00007C95">
        <w:rPr>
          <w:rFonts w:eastAsia="Times New Roman" w:cs="Times New Roman"/>
          <w:sz w:val="24"/>
          <w:szCs w:val="24"/>
          <w:lang w:eastAsia="pt-PT"/>
        </w:rPr>
        <w:t>, fundamental para a sua tese.</w:t>
      </w:r>
    </w:p>
    <w:p w14:paraId="69EC519B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23FF0F7">
          <v:rect id="_x0000_i1030" style="width:0;height:1.5pt" o:hralign="center" o:hrstd="t" o:hr="t" fillcolor="#a0a0a0" stroked="f"/>
        </w:pict>
      </w:r>
    </w:p>
    <w:p w14:paraId="2A0388B8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lastRenderedPageBreak/>
        <w:t>3) Limitações (existentes, mas aceitáveis)</w:t>
      </w:r>
    </w:p>
    <w:p w14:paraId="64A0B36A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Emoji" w:eastAsia="Times New Roman" w:hAnsi="Segoe UI Emoji" w:cs="Segoe UI Emoji"/>
          <w:sz w:val="24"/>
          <w:szCs w:val="24"/>
          <w:lang w:eastAsia="pt-PT"/>
        </w:rPr>
        <w:t>⚠️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Limitações técnicas identificadas:</w:t>
      </w:r>
    </w:p>
    <w:p w14:paraId="040FC8AC" w14:textId="77777777" w:rsidR="00264333" w:rsidRPr="00007C95" w:rsidRDefault="00264333" w:rsidP="00264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Escopo regional</w:t>
      </w:r>
    </w:p>
    <w:p w14:paraId="6C9215D2" w14:textId="77777777" w:rsidR="00264333" w:rsidRPr="00007C95" w:rsidRDefault="00264333" w:rsidP="002643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estudo restrito à República de Bashkortostan;</w:t>
      </w:r>
    </w:p>
    <w:p w14:paraId="3B5C00FE" w14:textId="77777777" w:rsidR="00264333" w:rsidRPr="00007C95" w:rsidRDefault="00264333" w:rsidP="002643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não universal, mas metodologicamente transferível.</w:t>
      </w:r>
    </w:p>
    <w:p w14:paraId="539ED2BC" w14:textId="77777777" w:rsidR="00264333" w:rsidRPr="00007C95" w:rsidRDefault="00264333" w:rsidP="00264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Ausência de modelagem mecânica detalhada</w:t>
      </w:r>
    </w:p>
    <w:p w14:paraId="0F07548F" w14:textId="77777777" w:rsidR="00264333" w:rsidRPr="00007C95" w:rsidRDefault="00264333" w:rsidP="002643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não há modelos estruturais de torres/condutores;</w:t>
      </w:r>
    </w:p>
    <w:p w14:paraId="2743B8C2" w14:textId="77777777" w:rsidR="00264333" w:rsidRPr="00007C95" w:rsidRDefault="00264333" w:rsidP="002643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abordagem é estatística, não físico-mecânica.</w:t>
      </w:r>
    </w:p>
    <w:p w14:paraId="6C13B6E7" w14:textId="77777777" w:rsidR="00264333" w:rsidRPr="00007C95" w:rsidRDefault="00264333" w:rsidP="00264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Resiliência implícita</w:t>
      </w:r>
    </w:p>
    <w:p w14:paraId="4B5CA03F" w14:textId="77777777" w:rsidR="00264333" w:rsidRPr="00007C95" w:rsidRDefault="00264333" w:rsidP="002643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termo “resiliência” não é formalizado como índice;</w:t>
      </w:r>
    </w:p>
    <w:p w14:paraId="3B7C731E" w14:textId="77777777" w:rsidR="00264333" w:rsidRPr="00007C95" w:rsidRDefault="00264333" w:rsidP="002643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foco está em confiabilidade e falha.</w:t>
      </w:r>
    </w:p>
    <w:p w14:paraId="305924C2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Nenhuma destas limitações invalida o uso para a sua tese.</w:t>
      </w:r>
    </w:p>
    <w:p w14:paraId="66E3FEAA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5A0C0A45">
          <v:rect id="_x0000_i1031" style="width:0;height:1.5pt" o:hralign="center" o:hrstd="t" o:hr="t" fillcolor="#a0a0a0" stroked="f"/>
        </w:pict>
      </w:r>
    </w:p>
    <w:p w14:paraId="53ADB7F1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t>4) Aderência ao tema da sua tese</w:t>
      </w:r>
    </w:p>
    <w:p w14:paraId="4A767FE0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Tema: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1089"/>
      </w:tblGrid>
      <w:tr w:rsidR="00264333" w:rsidRPr="00007C95" w14:paraId="1DEFFC0E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4A0B9" w14:textId="77777777" w:rsidR="00264333" w:rsidRPr="00007C95" w:rsidRDefault="00264333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566A5B6" w14:textId="77777777" w:rsidR="00264333" w:rsidRPr="00007C95" w:rsidRDefault="00264333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Avaliação</w:t>
            </w:r>
          </w:p>
        </w:tc>
      </w:tr>
      <w:tr w:rsidR="00264333" w:rsidRPr="00007C95" w14:paraId="56E08FD0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5CC3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sz w:val="24"/>
                <w:szCs w:val="24"/>
                <w:lang w:eastAsia="pt-PT"/>
              </w:rPr>
              <w:t>Linhas como ativo físico</w:t>
            </w:r>
          </w:p>
        </w:tc>
        <w:tc>
          <w:tcPr>
            <w:tcW w:w="0" w:type="auto"/>
            <w:vAlign w:val="center"/>
            <w:hideMark/>
          </w:tcPr>
          <w:p w14:paraId="54E456BE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264333" w:rsidRPr="00007C95" w14:paraId="0DB75528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01C4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sz w:val="24"/>
                <w:szCs w:val="24"/>
                <w:lang w:eastAsia="pt-PT"/>
              </w:rPr>
              <w:t>Clima explícito (vento, raios)</w:t>
            </w:r>
          </w:p>
        </w:tc>
        <w:tc>
          <w:tcPr>
            <w:tcW w:w="0" w:type="auto"/>
            <w:vAlign w:val="center"/>
            <w:hideMark/>
          </w:tcPr>
          <w:p w14:paraId="3522A8ED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264333" w:rsidRPr="00007C95" w14:paraId="446F8BDE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96D4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sz w:val="24"/>
                <w:szCs w:val="24"/>
                <w:lang w:eastAsia="pt-PT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1891ECE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264333" w:rsidRPr="00007C95" w14:paraId="0916DA17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A4FC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sz w:val="24"/>
                <w:szCs w:val="24"/>
                <w:lang w:eastAsia="pt-PT"/>
              </w:rPr>
              <w:t>Métrica quantitativa</w:t>
            </w:r>
          </w:p>
        </w:tc>
        <w:tc>
          <w:tcPr>
            <w:tcW w:w="0" w:type="auto"/>
            <w:vAlign w:val="center"/>
            <w:hideMark/>
          </w:tcPr>
          <w:p w14:paraId="1EA70927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264333" w:rsidRPr="00007C95" w14:paraId="2A2EB05F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4B51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sz w:val="24"/>
                <w:szCs w:val="24"/>
                <w:lang w:eastAsia="pt-PT"/>
              </w:rPr>
              <w:t>Evolução temporal</w:t>
            </w:r>
          </w:p>
        </w:tc>
        <w:tc>
          <w:tcPr>
            <w:tcW w:w="0" w:type="auto"/>
            <w:vAlign w:val="center"/>
            <w:hideMark/>
          </w:tcPr>
          <w:p w14:paraId="7B8B4DA5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264333" w:rsidRPr="00007C95" w14:paraId="6B0FDF99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090C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sz w:val="24"/>
                <w:szCs w:val="24"/>
                <w:lang w:eastAsia="pt-PT"/>
              </w:rPr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6034F7B6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⚠️</w:t>
            </w:r>
          </w:p>
        </w:tc>
      </w:tr>
      <w:tr w:rsidR="00264333" w:rsidRPr="00007C95" w14:paraId="10F656F6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F2A8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eastAsia="Times New Roman" w:cs="Times New Roman"/>
                <w:sz w:val="24"/>
                <w:szCs w:val="24"/>
                <w:lang w:eastAsia="pt-PT"/>
              </w:rPr>
              <w:t>Índice formal de resiliência</w:t>
            </w:r>
          </w:p>
        </w:tc>
        <w:tc>
          <w:tcPr>
            <w:tcW w:w="0" w:type="auto"/>
            <w:vAlign w:val="center"/>
            <w:hideMark/>
          </w:tcPr>
          <w:p w14:paraId="74C6FD75" w14:textId="77777777" w:rsidR="00264333" w:rsidRPr="00007C95" w:rsidRDefault="00264333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07C95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⚠️</w:t>
            </w:r>
          </w:p>
        </w:tc>
      </w:tr>
    </w:tbl>
    <w:p w14:paraId="5572CCBE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Aderência direta: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alta</w:t>
      </w:r>
      <w:r w:rsidRPr="00007C95">
        <w:rPr>
          <w:rFonts w:eastAsia="Times New Roman" w:cs="Times New Roman"/>
          <w:sz w:val="24"/>
          <w:szCs w:val="24"/>
          <w:lang w:eastAsia="pt-PT"/>
        </w:rPr>
        <w:br/>
      </w: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Aderência metodológica: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alta</w:t>
      </w:r>
    </w:p>
    <w:p w14:paraId="302589C3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AF2F167">
          <v:rect id="_x0000_i1032" style="width:0;height:1.5pt" o:hralign="center" o:hrstd="t" o:hr="t" fillcolor="#a0a0a0" stroked="f"/>
        </w:pict>
      </w:r>
    </w:p>
    <w:p w14:paraId="2B22D788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t>5) Utilidade real para a sua tese</w:t>
      </w:r>
    </w:p>
    <w:p w14:paraId="72B34023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lastRenderedPageBreak/>
        <w:t xml:space="preserve">Este artigo é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central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para a sua tese e pode ser usado para:</w:t>
      </w:r>
    </w:p>
    <w:p w14:paraId="61B086B5" w14:textId="77777777" w:rsidR="00264333" w:rsidRPr="00007C95" w:rsidRDefault="00264333" w:rsidP="00264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fundamentar a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ligação clima → falha física</w:t>
      </w:r>
      <w:r w:rsidRPr="00007C95">
        <w:rPr>
          <w:rFonts w:eastAsia="Times New Roman" w:cs="Times New Roman"/>
          <w:sz w:val="24"/>
          <w:szCs w:val="24"/>
          <w:lang w:eastAsia="pt-PT"/>
        </w:rPr>
        <w:t>;</w:t>
      </w:r>
    </w:p>
    <w:p w14:paraId="4C2CC1AB" w14:textId="77777777" w:rsidR="00264333" w:rsidRPr="00007C95" w:rsidRDefault="00264333" w:rsidP="00264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justificar a escolha de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vento e raios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como variáveis-chave;</w:t>
      </w:r>
    </w:p>
    <w:p w14:paraId="6C0E96E2" w14:textId="77777777" w:rsidR="00264333" w:rsidRPr="00007C95" w:rsidRDefault="00264333" w:rsidP="00264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 xml:space="preserve">apoiar a necessidade de um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índice de resiliência específico para LT</w:t>
      </w:r>
      <w:r w:rsidRPr="00007C95">
        <w:rPr>
          <w:rFonts w:eastAsia="Times New Roman" w:cs="Times New Roman"/>
          <w:sz w:val="24"/>
          <w:szCs w:val="24"/>
          <w:lang w:eastAsia="pt-PT"/>
        </w:rPr>
        <w:t>;</w:t>
      </w:r>
    </w:p>
    <w:p w14:paraId="06BF4D2C" w14:textId="77777777" w:rsidR="00264333" w:rsidRPr="00007C95" w:rsidRDefault="00264333" w:rsidP="00264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validar empiricamente a relevância do problema;</w:t>
      </w:r>
    </w:p>
    <w:p w14:paraId="74004834" w14:textId="77777777" w:rsidR="00264333" w:rsidRPr="00007C95" w:rsidRDefault="00264333" w:rsidP="00264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servir de base para calibração estatística do seu modelo.</w:t>
      </w:r>
    </w:p>
    <w:p w14:paraId="49DEEE13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É um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artigo âncora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para a contextualização e revisão crítica.</w:t>
      </w:r>
    </w:p>
    <w:p w14:paraId="08601A0F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7523CB51">
          <v:rect id="_x0000_i1033" style="width:0;height:1.5pt" o:hralign="center" o:hrstd="t" o:hr="t" fillcolor="#a0a0a0" stroked="f"/>
        </w:pict>
      </w:r>
    </w:p>
    <w:p w14:paraId="69D46C0A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t>6) Decisão final</w:t>
      </w:r>
    </w:p>
    <w:p w14:paraId="1541BD7D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ascii="Segoe UI Emoji" w:eastAsia="Times New Roman" w:hAnsi="Segoe UI Emoji" w:cs="Segoe UI Emoji"/>
          <w:sz w:val="24"/>
          <w:szCs w:val="24"/>
          <w:lang w:eastAsia="pt-PT"/>
        </w:rPr>
        <w:t>✅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DECISÃO: GUARDAR (ARTIGO NÚCLEO DA TESE)</w:t>
      </w:r>
    </w:p>
    <w:p w14:paraId="160F0F92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Justificativa técnica:</w:t>
      </w:r>
    </w:p>
    <w:p w14:paraId="5AD51F7E" w14:textId="77777777" w:rsidR="00264333" w:rsidRPr="00007C95" w:rsidRDefault="00264333" w:rsidP="00264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trata diretamente de LT;</w:t>
      </w:r>
    </w:p>
    <w:p w14:paraId="3D25FB3E" w14:textId="77777777" w:rsidR="00264333" w:rsidRPr="00007C95" w:rsidRDefault="00264333" w:rsidP="00264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usa dados reais;</w:t>
      </w:r>
    </w:p>
    <w:p w14:paraId="75244486" w14:textId="77777777" w:rsidR="00264333" w:rsidRPr="00007C95" w:rsidRDefault="00264333" w:rsidP="00264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relaciona clima, falha e tempo;</w:t>
      </w:r>
    </w:p>
    <w:p w14:paraId="0B65C211" w14:textId="77777777" w:rsidR="00264333" w:rsidRPr="00007C95" w:rsidRDefault="00264333" w:rsidP="00264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introduz projeção futura;</w:t>
      </w:r>
    </w:p>
    <w:p w14:paraId="59D2C38A" w14:textId="77777777" w:rsidR="00264333" w:rsidRPr="00007C95" w:rsidRDefault="00264333" w:rsidP="00264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reforça claramente a lacuna que a sua tese pretende preencher.</w:t>
      </w:r>
    </w:p>
    <w:p w14:paraId="05A47C46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793BC687">
          <v:rect id="_x0000_i1034" style="width:0;height:1.5pt" o:hralign="center" o:hrstd="t" o:hr="t" fillcolor="#a0a0a0" stroked="f"/>
        </w:pict>
      </w:r>
    </w:p>
    <w:p w14:paraId="12403591" w14:textId="77777777" w:rsidR="00264333" w:rsidRPr="00007C95" w:rsidRDefault="00264333" w:rsidP="002643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07C95">
        <w:rPr>
          <w:rFonts w:eastAsia="Times New Roman" w:cs="Times New Roman"/>
          <w:b/>
          <w:bCs/>
          <w:sz w:val="36"/>
          <w:szCs w:val="36"/>
          <w:lang w:eastAsia="pt-PT"/>
        </w:rPr>
        <w:t>7) Classificação resumida (para a tabela do grupo 2020)</w:t>
      </w:r>
    </w:p>
    <w:p w14:paraId="4453AEA1" w14:textId="77777777" w:rsidR="00264333" w:rsidRPr="00007C95" w:rsidRDefault="00264333" w:rsidP="00264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Decisão: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Guardado</w:t>
      </w:r>
    </w:p>
    <w:p w14:paraId="595F1DBE" w14:textId="77777777" w:rsidR="00264333" w:rsidRPr="00007C95" w:rsidRDefault="00264333" w:rsidP="00264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Foco: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Influência de fatores climáticos na confiabilidade física de linhas aéreas</w:t>
      </w:r>
    </w:p>
    <w:p w14:paraId="3104F843" w14:textId="77777777" w:rsidR="00264333" w:rsidRPr="00007C95" w:rsidRDefault="00264333" w:rsidP="00264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Nível de importância: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Altíssimo</w:t>
      </w:r>
    </w:p>
    <w:p w14:paraId="26B4EDF2" w14:textId="77777777" w:rsidR="00264333" w:rsidRPr="00007C95" w:rsidRDefault="00264333" w:rsidP="00264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Ponto da tese:</w:t>
      </w:r>
    </w:p>
    <w:p w14:paraId="06191AF5" w14:textId="77777777" w:rsidR="00264333" w:rsidRPr="00007C95" w:rsidRDefault="00264333" w:rsidP="002643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Contextualização</w:t>
      </w:r>
    </w:p>
    <w:p w14:paraId="0C2BEBC5" w14:textId="77777777" w:rsidR="00264333" w:rsidRPr="00007C95" w:rsidRDefault="00264333" w:rsidP="002643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Revisão da literatura</w:t>
      </w:r>
    </w:p>
    <w:p w14:paraId="0C0091FA" w14:textId="77777777" w:rsidR="00264333" w:rsidRPr="00007C95" w:rsidRDefault="00264333" w:rsidP="002643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Resiliência das linhas de transmissão</w:t>
      </w:r>
    </w:p>
    <w:p w14:paraId="0CECDA26" w14:textId="77777777" w:rsidR="00264333" w:rsidRPr="00007C95" w:rsidRDefault="00264333" w:rsidP="002643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Lacuna encontrada</w:t>
      </w:r>
    </w:p>
    <w:p w14:paraId="75798B5D" w14:textId="77777777" w:rsidR="00264333" w:rsidRPr="00007C95" w:rsidRDefault="00264333" w:rsidP="00264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Pontuação (Resiliência de LT):</w:t>
      </w:r>
      <w:r w:rsidRPr="00007C95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07C95">
        <w:rPr>
          <w:rFonts w:eastAsia="Times New Roman" w:cs="Times New Roman"/>
          <w:b/>
          <w:bCs/>
          <w:sz w:val="24"/>
          <w:szCs w:val="24"/>
          <w:lang w:eastAsia="pt-PT"/>
        </w:rPr>
        <w:t>9,0 / 10</w:t>
      </w:r>
    </w:p>
    <w:p w14:paraId="52E46B64" w14:textId="77777777" w:rsidR="00264333" w:rsidRPr="00007C95" w:rsidRDefault="00264333" w:rsidP="00264333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53C1CA9">
          <v:rect id="_x0000_i1035" style="width:0;height:1.5pt" o:hralign="center" o:hrstd="t" o:hr="t" fillcolor="#a0a0a0" stroked="f"/>
        </w:pict>
      </w:r>
    </w:p>
    <w:p w14:paraId="1FF8B7DE" w14:textId="77777777" w:rsidR="00264333" w:rsidRPr="00007C95" w:rsidRDefault="00264333" w:rsidP="002643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07C95">
        <w:rPr>
          <w:rFonts w:ascii="Segoe UI Emoji" w:eastAsia="Times New Roman" w:hAnsi="Segoe UI Emoji" w:cs="Segoe UI Emoji"/>
          <w:b/>
          <w:bCs/>
          <w:sz w:val="27"/>
          <w:szCs w:val="27"/>
          <w:lang w:eastAsia="pt-PT"/>
        </w:rPr>
        <w:t>📌</w:t>
      </w:r>
      <w:r w:rsidRPr="00007C95">
        <w:rPr>
          <w:rFonts w:eastAsia="Times New Roman" w:cs="Times New Roman"/>
          <w:b/>
          <w:bCs/>
          <w:sz w:val="27"/>
          <w:szCs w:val="27"/>
          <w:lang w:eastAsia="pt-PT"/>
        </w:rPr>
        <w:t xml:space="preserve"> Síntese final</w:t>
      </w:r>
    </w:p>
    <w:p w14:paraId="23B27FA4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sz w:val="24"/>
          <w:szCs w:val="24"/>
          <w:lang w:eastAsia="pt-PT"/>
        </w:rPr>
        <w:t>Este artigo responde exatamente à pergunta que fundamenta a sua tese:</w:t>
      </w:r>
    </w:p>
    <w:p w14:paraId="11D76EB4" w14:textId="77777777" w:rsidR="00264333" w:rsidRPr="00007C95" w:rsidRDefault="00264333" w:rsidP="0026433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07C95">
        <w:rPr>
          <w:rFonts w:eastAsia="Times New Roman" w:cs="Times New Roman"/>
          <w:i/>
          <w:iCs/>
          <w:sz w:val="24"/>
          <w:szCs w:val="24"/>
          <w:lang w:eastAsia="pt-PT"/>
        </w:rPr>
        <w:lastRenderedPageBreak/>
        <w:t>Como fatores climáticos degradam fisicamente linhas de transmissão e como isso se manifesta em falhas reais e crescentes ao longo do tempo?</w:t>
      </w:r>
    </w:p>
    <w:p w14:paraId="10BEA4BE" w14:textId="77777777" w:rsidR="00264333" w:rsidRDefault="00264333" w:rsidP="00264333"/>
    <w:p w14:paraId="6F503476" w14:textId="77777777" w:rsidR="00264333" w:rsidRPr="00384B5A" w:rsidRDefault="00264333" w:rsidP="00384B5A">
      <w:pPr>
        <w:rPr>
          <w:lang w:val="pt-BR"/>
        </w:rPr>
      </w:pPr>
    </w:p>
    <w:sectPr w:rsidR="00264333" w:rsidRPr="00384B5A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1E"/>
    <w:multiLevelType w:val="multilevel"/>
    <w:tmpl w:val="B11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2936"/>
    <w:multiLevelType w:val="multilevel"/>
    <w:tmpl w:val="7EC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5D77"/>
    <w:multiLevelType w:val="multilevel"/>
    <w:tmpl w:val="653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140F2"/>
    <w:multiLevelType w:val="multilevel"/>
    <w:tmpl w:val="714A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3D39"/>
    <w:multiLevelType w:val="multilevel"/>
    <w:tmpl w:val="F1F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D1855"/>
    <w:multiLevelType w:val="multilevel"/>
    <w:tmpl w:val="3BF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245B7"/>
    <w:multiLevelType w:val="multilevel"/>
    <w:tmpl w:val="6E76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C45C9"/>
    <w:multiLevelType w:val="multilevel"/>
    <w:tmpl w:val="EC3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901CE"/>
    <w:multiLevelType w:val="multilevel"/>
    <w:tmpl w:val="E07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26292"/>
    <w:multiLevelType w:val="multilevel"/>
    <w:tmpl w:val="802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E3B3E"/>
    <w:multiLevelType w:val="multilevel"/>
    <w:tmpl w:val="D9D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135F8"/>
    <w:multiLevelType w:val="multilevel"/>
    <w:tmpl w:val="33E6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97BA5"/>
    <w:multiLevelType w:val="multilevel"/>
    <w:tmpl w:val="522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90369">
    <w:abstractNumId w:val="2"/>
  </w:num>
  <w:num w:numId="2" w16cid:durableId="2003971881">
    <w:abstractNumId w:val="6"/>
  </w:num>
  <w:num w:numId="3" w16cid:durableId="1326081674">
    <w:abstractNumId w:val="12"/>
  </w:num>
  <w:num w:numId="4" w16cid:durableId="872183720">
    <w:abstractNumId w:val="1"/>
  </w:num>
  <w:num w:numId="5" w16cid:durableId="796677807">
    <w:abstractNumId w:val="10"/>
  </w:num>
  <w:num w:numId="6" w16cid:durableId="282200035">
    <w:abstractNumId w:val="7"/>
  </w:num>
  <w:num w:numId="7" w16cid:durableId="1860312458">
    <w:abstractNumId w:val="8"/>
  </w:num>
  <w:num w:numId="8" w16cid:durableId="1222443899">
    <w:abstractNumId w:val="9"/>
  </w:num>
  <w:num w:numId="9" w16cid:durableId="315768495">
    <w:abstractNumId w:val="5"/>
  </w:num>
  <w:num w:numId="10" w16cid:durableId="1392773267">
    <w:abstractNumId w:val="11"/>
  </w:num>
  <w:num w:numId="11" w16cid:durableId="1651245832">
    <w:abstractNumId w:val="4"/>
  </w:num>
  <w:num w:numId="12" w16cid:durableId="1048336329">
    <w:abstractNumId w:val="0"/>
  </w:num>
  <w:num w:numId="13" w16cid:durableId="1119910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5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64333"/>
    <w:rsid w:val="00285BB1"/>
    <w:rsid w:val="00347332"/>
    <w:rsid w:val="00384B5A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61413D"/>
    <w:rsid w:val="006363A1"/>
    <w:rsid w:val="00744A15"/>
    <w:rsid w:val="00785F46"/>
    <w:rsid w:val="007B1727"/>
    <w:rsid w:val="007E0455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724EF"/>
  <w15:chartTrackingRefBased/>
  <w15:docId w15:val="{6959F3F7-013F-450D-9492-B328A35D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5A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5A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5A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5A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5A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8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5A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84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1202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2025-05-11T16:17:00Z</dcterms:created>
  <dcterms:modified xsi:type="dcterms:W3CDTF">2026-01-17T11:58:00Z</dcterms:modified>
</cp:coreProperties>
</file>