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12D9" w14:textId="60B03B6C" w:rsidR="004A2627" w:rsidRDefault="004A2627" w:rsidP="004A2627">
      <w:r>
        <w:t>Título: Metrics and Enhancement Strategies for Grid Resilience and Reliability During Natural Disasters</w:t>
      </w:r>
    </w:p>
    <w:p w14:paraId="500FF4DD" w14:textId="77777777" w:rsidR="004A2627" w:rsidRDefault="004A2627" w:rsidP="004A2627"/>
    <w:p w14:paraId="229B0140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Autores e Afiliações</w:t>
      </w:r>
    </w:p>
    <w:p w14:paraId="2F8BB5D0" w14:textId="77777777" w:rsidR="004A2627" w:rsidRPr="004A2627" w:rsidRDefault="004A2627" w:rsidP="004A2627">
      <w:pPr>
        <w:rPr>
          <w:lang w:val="pt-BR"/>
        </w:rPr>
      </w:pPr>
      <w:bookmarkStart w:id="0" w:name="_Hlk197867377"/>
      <w:r w:rsidRPr="004A2627">
        <w:rPr>
          <w:lang w:val="pt-BR"/>
        </w:rPr>
        <w:t>Ravi Gorur, Vishnu M. B., Rangan Banerjee, e S. A. Khaparde</w:t>
      </w:r>
    </w:p>
    <w:bookmarkEnd w:id="0"/>
    <w:p w14:paraId="1DCAC3EE" w14:textId="77777777" w:rsidR="004A2627" w:rsidRDefault="004A2627" w:rsidP="004A2627">
      <w:r>
        <w:t>Indian Institute of Technology Bombay, Mumbai, Índia</w:t>
      </w:r>
    </w:p>
    <w:p w14:paraId="00B4A178" w14:textId="77777777" w:rsidR="004A2627" w:rsidRDefault="004A2627" w:rsidP="004A2627"/>
    <w:p w14:paraId="06CB535D" w14:textId="7B8C6E0B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Resumo do Abstract</w:t>
      </w:r>
    </w:p>
    <w:p w14:paraId="4149B85A" w14:textId="77777777" w:rsidR="004A2627" w:rsidRDefault="004A2627" w:rsidP="004A2627">
      <w:pPr>
        <w:rPr>
          <w:lang w:val="pt-BR"/>
        </w:rPr>
      </w:pPr>
      <w:r w:rsidRPr="004A2627">
        <w:rPr>
          <w:lang w:val="pt-BR"/>
        </w:rPr>
        <w:t>Este artigo propõe uma revisão crítica das métricas utilizadas para avaliar a resiliência e a confiabilidade de sistemas elétricos durante desastres naturais, além de apresentar estratégias de reforço em diferentes níveis da rede. O trabalho identifica lacunas entre métricas de confiabilidade tradicionais (como SAIDI e SAIFI) e as exigências de avaliação de resiliência sob eventos extremos. Com foco especial em redes de distribuição, o artigo propõe um framework híbrido com indicadores técnicos, operacionais e espaciais. São também discutidas propostas de planejamento e operação para aumentar a robustez e capacidade de recuperação de redes frente a ciclones, inundações e terremotos.</w:t>
      </w:r>
    </w:p>
    <w:p w14:paraId="5BDF49B8" w14:textId="77777777" w:rsidR="004A2627" w:rsidRPr="004A2627" w:rsidRDefault="004A2627" w:rsidP="004A2627">
      <w:pPr>
        <w:rPr>
          <w:lang w:val="pt-BR"/>
        </w:rPr>
      </w:pPr>
    </w:p>
    <w:p w14:paraId="44323CEC" w14:textId="57032E88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Introdução</w:t>
      </w:r>
    </w:p>
    <w:p w14:paraId="5657F69C" w14:textId="77777777" w:rsidR="004A2627" w:rsidRDefault="004A2627" w:rsidP="004A2627">
      <w:pPr>
        <w:rPr>
          <w:lang w:val="pt-BR"/>
        </w:rPr>
      </w:pPr>
      <w:r w:rsidRPr="004A2627">
        <w:rPr>
          <w:lang w:val="pt-BR"/>
        </w:rPr>
        <w:t>A crescente frequência e intensidade de desastres naturais evidencia a necessidade de métodos mais sofisticados para avaliar e fortalecer sistemas de energia elétrica. Os autores argumentam que métricas tradicionais de confiabilidade não capturam a natureza dinâmica nem os efeitos encadeados de eventos catastróficos. A distinção entre confiabilidade (condições normais) e resiliência (eventos extremos) é destacada como crítica para formulação de políticas públicas e estratégias operacionais.</w:t>
      </w:r>
    </w:p>
    <w:p w14:paraId="4C9E52BE" w14:textId="77777777" w:rsidR="004A2627" w:rsidRDefault="004A2627" w:rsidP="004A2627">
      <w:pPr>
        <w:rPr>
          <w:lang w:val="pt-BR"/>
        </w:rPr>
      </w:pPr>
    </w:p>
    <w:p w14:paraId="52972E94" w14:textId="245E040E" w:rsidR="004A2627" w:rsidRDefault="004A2627" w:rsidP="004A2627">
      <w:pPr>
        <w:rPr>
          <w:lang w:val="pt-BR"/>
        </w:rPr>
      </w:pPr>
      <w:r>
        <w:rPr>
          <w:lang w:val="pt-BR"/>
        </w:rPr>
        <w:t>"A</w:t>
      </w:r>
      <w:r w:rsidRPr="004A2627">
        <w:rPr>
          <w:lang w:val="pt-BR"/>
        </w:rPr>
        <w:t xml:space="preserve"> análise</w:t>
      </w:r>
      <w:r>
        <w:rPr>
          <w:lang w:val="pt-BR"/>
        </w:rPr>
        <w:t xml:space="preserve"> </w:t>
      </w:r>
      <w:r w:rsidRPr="004A2627">
        <w:rPr>
          <w:lang w:val="pt-BR"/>
        </w:rPr>
        <w:t>"específica de desastre" do perigo negligencia os aspectos expansivos d</w:t>
      </w:r>
      <w:r>
        <w:rPr>
          <w:lang w:val="pt-BR"/>
        </w:rPr>
        <w:t>as</w:t>
      </w:r>
      <w:r w:rsidRPr="004A2627">
        <w:rPr>
          <w:lang w:val="pt-BR"/>
        </w:rPr>
        <w:t xml:space="preserve"> avaliações</w:t>
      </w:r>
      <w:r w:rsidR="009660FD">
        <w:rPr>
          <w:lang w:val="pt-BR"/>
        </w:rPr>
        <w:t xml:space="preserve"> </w:t>
      </w:r>
      <w:r w:rsidRPr="004A2627">
        <w:rPr>
          <w:lang w:val="pt-BR"/>
        </w:rPr>
        <w:t>de perigo de desastres múltiplos e pode levar a estratégias isoladas,</w:t>
      </w:r>
      <w:r>
        <w:rPr>
          <w:lang w:val="pt-BR"/>
        </w:rPr>
        <w:t xml:space="preserve"> </w:t>
      </w:r>
      <w:r w:rsidRPr="004A2627">
        <w:rPr>
          <w:lang w:val="pt-BR"/>
        </w:rPr>
        <w:t>intervenções replicadas e técnicas de alívio míopes que podem</w:t>
      </w:r>
      <w:r>
        <w:rPr>
          <w:lang w:val="pt-BR"/>
        </w:rPr>
        <w:t xml:space="preserve"> </w:t>
      </w:r>
      <w:r w:rsidRPr="004A2627">
        <w:rPr>
          <w:lang w:val="pt-BR"/>
        </w:rPr>
        <w:t>tornar o arranjo mais vulnerável a uma gama mais ampla de desastres.</w:t>
      </w:r>
      <w:r>
        <w:rPr>
          <w:lang w:val="pt-BR"/>
        </w:rPr>
        <w:t>"</w:t>
      </w:r>
    </w:p>
    <w:p w14:paraId="522B1822" w14:textId="77777777" w:rsidR="004A2627" w:rsidRDefault="004A2627" w:rsidP="004A2627">
      <w:pPr>
        <w:rPr>
          <w:lang w:val="pt-BR"/>
        </w:rPr>
      </w:pPr>
    </w:p>
    <w:p w14:paraId="5A4BE65B" w14:textId="56062BC0" w:rsidR="004A2627" w:rsidRDefault="00BF572A" w:rsidP="004A2627">
      <w:pPr>
        <w:rPr>
          <w:lang w:val="pt-BR"/>
        </w:rPr>
      </w:pPr>
      <w:r>
        <w:rPr>
          <w:lang w:val="pt-BR"/>
        </w:rPr>
        <w:t>"</w:t>
      </w:r>
      <w:r w:rsidRPr="00BF572A">
        <w:rPr>
          <w:lang w:val="pt-BR"/>
        </w:rPr>
        <w:t xml:space="preserve"> A resiliência da rede refere-se à capacidade da rede de</w:t>
      </w:r>
      <w:r>
        <w:rPr>
          <w:lang w:val="pt-BR"/>
        </w:rPr>
        <w:t xml:space="preserve"> </w:t>
      </w:r>
      <w:r w:rsidRPr="00BF572A">
        <w:rPr>
          <w:lang w:val="pt-BR"/>
        </w:rPr>
        <w:t>suportar interrupções na rede e voltar às condições normais de operação</w:t>
      </w:r>
      <w:r>
        <w:rPr>
          <w:lang w:val="pt-BR"/>
        </w:rPr>
        <w:t xml:space="preserve"> </w:t>
      </w:r>
      <w:r w:rsidRPr="00BF572A">
        <w:rPr>
          <w:lang w:val="pt-BR"/>
        </w:rPr>
        <w:t>sem ou com interferência externa mínima ou para se ajustar</w:t>
      </w:r>
      <w:r>
        <w:rPr>
          <w:lang w:val="pt-BR"/>
        </w:rPr>
        <w:t xml:space="preserve"> à </w:t>
      </w:r>
      <w:r w:rsidRPr="00BF572A">
        <w:rPr>
          <w:lang w:val="pt-BR"/>
        </w:rPr>
        <w:t>pressão para aliviar o comprometimento por meio da degradação graciosa</w:t>
      </w:r>
      <w:r>
        <w:rPr>
          <w:lang w:val="pt-BR"/>
        </w:rPr>
        <w:t>."</w:t>
      </w:r>
    </w:p>
    <w:p w14:paraId="6DCE18D1" w14:textId="77777777" w:rsidR="004A2627" w:rsidRDefault="004A2627" w:rsidP="004A2627">
      <w:pPr>
        <w:rPr>
          <w:lang w:val="pt-BR"/>
        </w:rPr>
      </w:pPr>
    </w:p>
    <w:p w14:paraId="26652015" w14:textId="52C2BE67" w:rsidR="00C26A90" w:rsidRDefault="00C26A90" w:rsidP="004A2627">
      <w:pPr>
        <w:rPr>
          <w:lang w:val="pt-BR"/>
        </w:rPr>
      </w:pPr>
      <w:r>
        <w:rPr>
          <w:lang w:val="pt-BR"/>
        </w:rPr>
        <w:t>"</w:t>
      </w:r>
      <w:r w:rsidRPr="00C26A90">
        <w:rPr>
          <w:lang w:val="pt-BR"/>
        </w:rPr>
        <w:t xml:space="preserve"> A resiliência de uma rede elétrica depende</w:t>
      </w:r>
      <w:r>
        <w:rPr>
          <w:lang w:val="pt-BR"/>
        </w:rPr>
        <w:t xml:space="preserve"> </w:t>
      </w:r>
      <w:r w:rsidRPr="00C26A90">
        <w:rPr>
          <w:lang w:val="pt-BR"/>
        </w:rPr>
        <w:t>da capacidade do sistema de sustentar um fornecimento constante de cargas vitais em</w:t>
      </w:r>
      <w:r>
        <w:rPr>
          <w:lang w:val="pt-BR"/>
        </w:rPr>
        <w:t xml:space="preserve"> </w:t>
      </w:r>
      <w:r w:rsidRPr="00C26A90">
        <w:rPr>
          <w:lang w:val="pt-BR"/>
        </w:rPr>
        <w:t>casos de contingências de alto impacto e baixa frequência (HILF). No caso de qua</w:t>
      </w:r>
      <w:r>
        <w:rPr>
          <w:lang w:val="pt-BR"/>
        </w:rPr>
        <w:t>is</w:t>
      </w:r>
      <w:r w:rsidRPr="00C26A90">
        <w:rPr>
          <w:lang w:val="pt-BR"/>
        </w:rPr>
        <w:t>quer</w:t>
      </w:r>
      <w:r>
        <w:rPr>
          <w:lang w:val="pt-BR"/>
        </w:rPr>
        <w:t xml:space="preserve"> </w:t>
      </w:r>
      <w:r w:rsidRPr="00C26A90">
        <w:rPr>
          <w:lang w:val="pt-BR"/>
        </w:rPr>
        <w:t>interrupções no sistema, um sistema resiliente deve ser capaz de retornar ao estado original no menor tempo possíve</w:t>
      </w:r>
      <w:r>
        <w:rPr>
          <w:lang w:val="pt-BR"/>
        </w:rPr>
        <w:t>l."</w:t>
      </w:r>
    </w:p>
    <w:p w14:paraId="32BB73BB" w14:textId="77777777" w:rsidR="00C26A90" w:rsidRPr="00C26A90" w:rsidRDefault="00C26A90" w:rsidP="004A2627">
      <w:pPr>
        <w:rPr>
          <w:lang w:val="pt-BR"/>
        </w:rPr>
      </w:pPr>
    </w:p>
    <w:p w14:paraId="079CA674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2. Metodologia</w:t>
      </w:r>
    </w:p>
    <w:p w14:paraId="1FAA5336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lastRenderedPageBreak/>
        <w:t>O artigo utiliza uma abordagem de revisão sistemática da literatura para classificar métricas em quatro grupos principais:</w:t>
      </w:r>
    </w:p>
    <w:p w14:paraId="6446F264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- Métricas convencionais de confiabilidade (SAIFI, SAIDI, CAIDI, ASAI)</w:t>
      </w:r>
    </w:p>
    <w:p w14:paraId="10CDD3E0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- Métricas baseadas em risco (frequência × severidade)</w:t>
      </w:r>
    </w:p>
    <w:p w14:paraId="43460148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- Métricas espaciais (georreferenciamento de danos e vulnerabilidades)</w:t>
      </w:r>
    </w:p>
    <w:p w14:paraId="6FABF6E1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- Métricas temporais (velocidade de recuperação, tempo de falha)</w:t>
      </w:r>
    </w:p>
    <w:p w14:paraId="332AF9C5" w14:textId="77777777" w:rsidR="004A2627" w:rsidRDefault="004A2627" w:rsidP="004A2627">
      <w:pPr>
        <w:rPr>
          <w:lang w:val="pt-BR"/>
        </w:rPr>
      </w:pPr>
      <w:r w:rsidRPr="004A2627">
        <w:rPr>
          <w:lang w:val="pt-BR"/>
        </w:rPr>
        <w:t>Além disso, os autores propõem estratégias de melhoria classificadas em: fortalecimento físico da infraestrutura, operação adaptativa e alocação otimizada de recursos de resposta.</w:t>
      </w:r>
    </w:p>
    <w:p w14:paraId="5436CD4A" w14:textId="77777777" w:rsidR="004A2627" w:rsidRPr="004A2627" w:rsidRDefault="004A2627" w:rsidP="004A2627">
      <w:pPr>
        <w:rPr>
          <w:lang w:val="pt-BR"/>
        </w:rPr>
      </w:pPr>
    </w:p>
    <w:p w14:paraId="12BCC0ED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3. Resultados</w:t>
      </w:r>
    </w:p>
    <w:p w14:paraId="6E420D13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Identificação de limitações das métricas SAIDI/SAIFI para eventos de grande escala.</w:t>
      </w:r>
    </w:p>
    <w:p w14:paraId="76FC8EF4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Integração entre confiabilidade e resiliência por meio de métricas mistas (como tempo de interrupção não planejada × impacto econômico).</w:t>
      </w:r>
    </w:p>
    <w:p w14:paraId="52052CFC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Proposta de um framework gráfico com três eixos: robustez (antes), resposta (durante), recuperação (após).</w:t>
      </w:r>
    </w:p>
    <w:p w14:paraId="2B9BB39D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Aplicação de estudos de caso da Índia e dos EUA para ilustrar perdas econômicas e técnicas.</w:t>
      </w:r>
    </w:p>
    <w:p w14:paraId="0F464F60" w14:textId="77777777" w:rsidR="004A2627" w:rsidRDefault="004A2627" w:rsidP="004A2627">
      <w:pPr>
        <w:rPr>
          <w:lang w:val="pt-BR"/>
        </w:rPr>
      </w:pPr>
      <w:r w:rsidRPr="004A2627">
        <w:rPr>
          <w:lang w:val="pt-BR"/>
        </w:rPr>
        <w:t>• Sugerem adoção de sistemas de monitoramento georreferenciado para apoiar decisões de manutenção preventiva.</w:t>
      </w:r>
    </w:p>
    <w:p w14:paraId="09BABA49" w14:textId="77777777" w:rsidR="004A2627" w:rsidRPr="004A2627" w:rsidRDefault="004A2627" w:rsidP="004A2627">
      <w:pPr>
        <w:rPr>
          <w:lang w:val="pt-BR"/>
        </w:rPr>
      </w:pPr>
    </w:p>
    <w:p w14:paraId="175FD857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4. Discussão</w:t>
      </w:r>
    </w:p>
    <w:p w14:paraId="52FB3980" w14:textId="77777777" w:rsidR="004A2627" w:rsidRDefault="004A2627" w:rsidP="004A2627">
      <w:pPr>
        <w:rPr>
          <w:lang w:val="pt-BR"/>
        </w:rPr>
      </w:pPr>
      <w:r w:rsidRPr="004A2627">
        <w:rPr>
          <w:lang w:val="pt-BR"/>
        </w:rPr>
        <w:t>A análise mostra que muitas concessionárias utilizam ainda métricas que não refletem a resiliência sob eventos extremos. O artigo reforça a necessidade de modelos que incorporem a dimensão espacial e a cronologia do impacto. Adicionalmente, os autores discutem a importância do uso de ferramentas de simulação baseadas em GIS e modelagem estocástica para antecipar zonas críticas. É destacada a importância de políticas regulatórias que incentivem resiliência ao invés de apenas confiabilidade nominal.</w:t>
      </w:r>
    </w:p>
    <w:p w14:paraId="3A312613" w14:textId="77777777" w:rsidR="004A2627" w:rsidRPr="004A2627" w:rsidRDefault="004A2627" w:rsidP="004A2627">
      <w:pPr>
        <w:rPr>
          <w:lang w:val="pt-BR"/>
        </w:rPr>
      </w:pPr>
    </w:p>
    <w:p w14:paraId="0AD9D0AD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5. Conclusão Crítica</w:t>
      </w:r>
    </w:p>
    <w:p w14:paraId="612722E9" w14:textId="77777777" w:rsidR="004A2627" w:rsidRDefault="004A2627" w:rsidP="004A2627">
      <w:pPr>
        <w:rPr>
          <w:lang w:val="pt-BR"/>
        </w:rPr>
      </w:pPr>
      <w:r w:rsidRPr="004A2627">
        <w:rPr>
          <w:lang w:val="pt-BR"/>
        </w:rPr>
        <w:t>O artigo fornece uma visão abrangente e integrada de como métricas e estratégias podem ser combinadas para avaliar e melhorar a resiliência elétrica. Contribui especialmente ao propor métricas híbridas e estratégias diferenciadas por tipo de desastre. Também ressalta a necessidade de colaboração entre regulação, tecnologia e planejamento espacial. A lacuna principal identificada é a ausência de um índice padronizado e universal de resiliência, semelhante ao que o SAIDI representa para confiabilidade.</w:t>
      </w:r>
    </w:p>
    <w:p w14:paraId="19AB56A7" w14:textId="77777777" w:rsidR="004A2627" w:rsidRPr="004A2627" w:rsidRDefault="004A2627" w:rsidP="004A2627">
      <w:pPr>
        <w:rPr>
          <w:lang w:val="pt-BR"/>
        </w:rPr>
      </w:pPr>
    </w:p>
    <w:p w14:paraId="357328F9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Resumo dos Achados Principais</w:t>
      </w:r>
    </w:p>
    <w:p w14:paraId="1DF7BA9E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Métricas clássicas como SAIDI/SAIFI são insuficientes para desastres naturais.</w:t>
      </w:r>
    </w:p>
    <w:p w14:paraId="43BEF0ED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Necessidade de integração entre dados geoespaciais, tempo de recuperação e impacto socioeconômico.</w:t>
      </w:r>
    </w:p>
    <w:p w14:paraId="0F2D906A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lastRenderedPageBreak/>
        <w:t>• Propostas práticas incluem reforço físico, automação de distribuição, alocação de recursos adaptativos.</w:t>
      </w:r>
    </w:p>
    <w:p w14:paraId="6209DD97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Ênfase na priorização de cargas críticas e estratégias baseadas em risco.</w:t>
      </w:r>
    </w:p>
    <w:p w14:paraId="2F86D4B4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Proposta de desenvolvimento de métricas híbridas e dashboards de monitoramento contínuo.</w:t>
      </w:r>
    </w:p>
    <w:p w14:paraId="629AD7FA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Descrição Técnica de Figuras, Tabelas e Gráficos</w:t>
      </w:r>
    </w:p>
    <w:p w14:paraId="695C82CF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Figura 1: Diagrama conceitual da diferença entre confiabilidade e resiliência ao longo do tempo.</w:t>
      </w:r>
    </w:p>
    <w:p w14:paraId="1D133C1B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Figura 2: Framework gráfico com fases de robustez, resposta e recuperação.</w:t>
      </w:r>
    </w:p>
    <w:p w14:paraId="05F5A9C9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Figura 3: Relação entre métricas tradicionais e ampliação para desastres (modelo 3D).</w:t>
      </w:r>
    </w:p>
    <w:p w14:paraId="3C7F2C8E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Tabela 1: Comparação entre diversas métricas (SAIFI, SAIDI, CAIDI, resilência baseada em risco).</w:t>
      </w:r>
    </w:p>
    <w:p w14:paraId="75DD27B0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Tabela 2: Estratégias propostas de reforço por tipo de desastre (vento, inundação, sismo).</w:t>
      </w:r>
    </w:p>
    <w:p w14:paraId="40487E8D" w14:textId="77777777" w:rsidR="004A2627" w:rsidRPr="004A2627" w:rsidRDefault="004A2627" w:rsidP="004A2627">
      <w:pPr>
        <w:rPr>
          <w:lang w:val="pt-BR"/>
        </w:rPr>
      </w:pPr>
      <w:r w:rsidRPr="004A2627">
        <w:rPr>
          <w:lang w:val="pt-BR"/>
        </w:rPr>
        <w:t>• Figura 4: Representação do impacto econômico de apagões recentes na Índia e EUA.</w:t>
      </w:r>
    </w:p>
    <w:p w14:paraId="64A7A49D" w14:textId="5D28051B" w:rsidR="00AC5231" w:rsidRDefault="00AC5231" w:rsidP="004A2627">
      <w:pPr>
        <w:rPr>
          <w:lang w:val="pt-BR"/>
        </w:rPr>
      </w:pPr>
    </w:p>
    <w:p w14:paraId="2E550C80" w14:textId="77777777" w:rsidR="00A62EFC" w:rsidRDefault="00A62EFC" w:rsidP="00A62EFC">
      <w:r w:rsidRPr="000A78E5">
        <w:t>Metrics and enhancement strategies for grid resilience and reliability during natural disaster</w:t>
      </w:r>
    </w:p>
    <w:p w14:paraId="0FCD4506" w14:textId="77777777" w:rsidR="00A62EFC" w:rsidRDefault="00A62EFC" w:rsidP="00A62EFC"/>
    <w:p w14:paraId="50DDA556" w14:textId="77777777" w:rsidR="00A62EFC" w:rsidRPr="00BC78E5" w:rsidRDefault="00A62EFC" w:rsidP="00A62E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BC78E5">
        <w:rPr>
          <w:rFonts w:eastAsia="Times New Roman" w:cs="Times New Roman"/>
          <w:b/>
          <w:bCs/>
          <w:sz w:val="36"/>
          <w:szCs w:val="36"/>
          <w:lang w:eastAsia="pt-PT"/>
        </w:rPr>
        <w:t>1. Natureza do documento</w:t>
      </w:r>
    </w:p>
    <w:p w14:paraId="621CA9E2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Artigo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científico de revisão técnica aprofundada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, publicado na </w:t>
      </w:r>
      <w:r w:rsidRPr="00BC78E5">
        <w:rPr>
          <w:rFonts w:eastAsia="Times New Roman" w:cs="Times New Roman"/>
          <w:i/>
          <w:iCs/>
          <w:sz w:val="24"/>
          <w:szCs w:val="24"/>
          <w:lang w:eastAsia="pt-PT"/>
        </w:rPr>
        <w:t>Applied Energy (Elsevier, Q1)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, com foco explícito na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distinção conceitual entre resiliência e fiabilidade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, na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sistematização de métricas quantitativas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e na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catalogação de estratégias de reforço da rede elétrica face a desastres naturais</w:t>
      </w:r>
      <w:r w:rsidRPr="00BC78E5">
        <w:rPr>
          <w:rFonts w:eastAsia="Times New Roman" w:cs="Times New Roman"/>
          <w:sz w:val="24"/>
          <w:szCs w:val="24"/>
          <w:lang w:eastAsia="pt-PT"/>
        </w:rPr>
        <w:t>.</w:t>
      </w:r>
    </w:p>
    <w:p w14:paraId="00AE348C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➡️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Documento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estruturante do estado da arte</w:t>
      </w:r>
      <w:r w:rsidRPr="00BC78E5">
        <w:rPr>
          <w:rFonts w:eastAsia="Times New Roman" w:cs="Times New Roman"/>
          <w:sz w:val="24"/>
          <w:szCs w:val="24"/>
          <w:lang w:eastAsia="pt-PT"/>
        </w:rPr>
        <w:t>, com forte densidade conceitual, matemática e organizacional. Não propõe um novo índice único, mas organiza e critica criticamente os existentes.</w:t>
      </w:r>
    </w:p>
    <w:p w14:paraId="3622927C" w14:textId="77777777" w:rsidR="00A62EFC" w:rsidRPr="00BC78E5" w:rsidRDefault="00A62EFC" w:rsidP="00A62EFC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66302203">
          <v:rect id="_x0000_i1025" style="width:0;height:1.5pt" o:hralign="center" o:hrstd="t" o:hr="t" fillcolor="#a0a0a0" stroked="f"/>
        </w:pict>
      </w:r>
    </w:p>
    <w:p w14:paraId="675A7EA8" w14:textId="77777777" w:rsidR="00A62EFC" w:rsidRPr="00BC78E5" w:rsidRDefault="00A62EFC" w:rsidP="00A62E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BC78E5">
        <w:rPr>
          <w:rFonts w:eastAsia="Times New Roman" w:cs="Times New Roman"/>
          <w:b/>
          <w:bCs/>
          <w:sz w:val="36"/>
          <w:szCs w:val="36"/>
          <w:lang w:eastAsia="pt-PT"/>
        </w:rPr>
        <w:t>2. Conteúdo técnico principal (síntese estruturada)</w:t>
      </w:r>
    </w:p>
    <w:p w14:paraId="15B9CFA5" w14:textId="77777777" w:rsidR="00A62EFC" w:rsidRPr="00BC78E5" w:rsidRDefault="00A62EFC" w:rsidP="00A62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BC78E5">
        <w:rPr>
          <w:rFonts w:eastAsia="Times New Roman" w:cs="Times New Roman"/>
          <w:b/>
          <w:bCs/>
          <w:sz w:val="27"/>
          <w:szCs w:val="27"/>
          <w:lang w:eastAsia="pt-PT"/>
        </w:rPr>
        <w:t>2.1 Diferenciação formal entre resiliência e fiabilidade</w:t>
      </w:r>
    </w:p>
    <w:p w14:paraId="145FB3E7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O artigo estabelece, de forma clara e normativa, que:</w:t>
      </w:r>
    </w:p>
    <w:p w14:paraId="368558EB" w14:textId="77777777" w:rsidR="00A62EFC" w:rsidRPr="00BC78E5" w:rsidRDefault="00A62EFC" w:rsidP="00A6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Fiabilidade (reliability)</w:t>
      </w:r>
      <w:r w:rsidRPr="00BC78E5">
        <w:rPr>
          <w:rFonts w:eastAsia="Times New Roman" w:cs="Times New Roman"/>
          <w:sz w:val="24"/>
          <w:szCs w:val="24"/>
          <w:lang w:eastAsia="pt-PT"/>
        </w:rPr>
        <w:t>:</w:t>
      </w:r>
    </w:p>
    <w:p w14:paraId="34B10B75" w14:textId="77777777" w:rsidR="00A62EFC" w:rsidRPr="00BC78E5" w:rsidRDefault="00A62EFC" w:rsidP="00A62E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associada a eventos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LIHF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(Low Impact, High Frequency);</w:t>
      </w:r>
    </w:p>
    <w:p w14:paraId="07116A6A" w14:textId="77777777" w:rsidR="00A62EFC" w:rsidRPr="00BC78E5" w:rsidRDefault="00A62EFC" w:rsidP="00A62E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foco em continuidade do serviço e qualidade de fornecimento;</w:t>
      </w:r>
    </w:p>
    <w:p w14:paraId="422C0EFE" w14:textId="77777777" w:rsidR="00A62EFC" w:rsidRPr="00BC78E5" w:rsidRDefault="00A62EFC" w:rsidP="00A62E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métricas clássicas: SAIDI, SAIFI, CAIDI, LOLP, LOLE, EENS.</w:t>
      </w:r>
    </w:p>
    <w:p w14:paraId="2F47FFBD" w14:textId="77777777" w:rsidR="00A62EFC" w:rsidRPr="00BC78E5" w:rsidRDefault="00A62EFC" w:rsidP="00A6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Resiliência (resilience)</w:t>
      </w:r>
      <w:r w:rsidRPr="00BC78E5">
        <w:rPr>
          <w:rFonts w:eastAsia="Times New Roman" w:cs="Times New Roman"/>
          <w:sz w:val="24"/>
          <w:szCs w:val="24"/>
          <w:lang w:eastAsia="pt-PT"/>
        </w:rPr>
        <w:t>:</w:t>
      </w:r>
    </w:p>
    <w:p w14:paraId="782ACADA" w14:textId="77777777" w:rsidR="00A62EFC" w:rsidRPr="00BC78E5" w:rsidRDefault="00A62EFC" w:rsidP="00A62E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lastRenderedPageBreak/>
        <w:t xml:space="preserve">associada a eventos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HILP/HILF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(High Impact, Low Probability/Frequency);</w:t>
      </w:r>
    </w:p>
    <w:p w14:paraId="1CB4FB31" w14:textId="77777777" w:rsidR="00A62EFC" w:rsidRPr="00A62EFC" w:rsidRDefault="00A62EFC" w:rsidP="00A62E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A62EFC">
        <w:rPr>
          <w:rFonts w:eastAsia="Times New Roman" w:cs="Times New Roman"/>
          <w:sz w:val="24"/>
          <w:szCs w:val="24"/>
          <w:lang w:val="pt-PT" w:eastAsia="pt-PT"/>
        </w:rPr>
        <w:t xml:space="preserve">foco em </w:t>
      </w:r>
      <w:r w:rsidRPr="00A62EFC">
        <w:rPr>
          <w:rFonts w:eastAsia="Times New Roman" w:cs="Times New Roman"/>
          <w:b/>
          <w:bCs/>
          <w:sz w:val="24"/>
          <w:szCs w:val="24"/>
          <w:lang w:val="pt-PT" w:eastAsia="pt-PT"/>
        </w:rPr>
        <w:t>absorção, adaptação e recuperação</w:t>
      </w:r>
      <w:r w:rsidRPr="00A62EFC">
        <w:rPr>
          <w:rFonts w:eastAsia="Times New Roman" w:cs="Times New Roman"/>
          <w:sz w:val="24"/>
          <w:szCs w:val="24"/>
          <w:lang w:val="pt-PT" w:eastAsia="pt-PT"/>
        </w:rPr>
        <w:t>;</w:t>
      </w:r>
    </w:p>
    <w:p w14:paraId="66155327" w14:textId="77777777" w:rsidR="00A62EFC" w:rsidRPr="00A62EFC" w:rsidRDefault="00A62EFC" w:rsidP="00A62E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A62EFC">
        <w:rPr>
          <w:rFonts w:eastAsia="Times New Roman" w:cs="Times New Roman"/>
          <w:sz w:val="24"/>
          <w:szCs w:val="24"/>
          <w:lang w:val="pt-PT" w:eastAsia="pt-PT"/>
        </w:rPr>
        <w:t xml:space="preserve">envolve explicitamente o </w:t>
      </w:r>
      <w:r w:rsidRPr="00A62EFC">
        <w:rPr>
          <w:rFonts w:eastAsia="Times New Roman" w:cs="Times New Roman"/>
          <w:b/>
          <w:bCs/>
          <w:sz w:val="24"/>
          <w:szCs w:val="24"/>
          <w:lang w:val="pt-PT" w:eastAsia="pt-PT"/>
        </w:rPr>
        <w:t>tempo de recuperação</w:t>
      </w:r>
      <w:r w:rsidRPr="00A62EFC">
        <w:rPr>
          <w:rFonts w:eastAsia="Times New Roman" w:cs="Times New Roman"/>
          <w:sz w:val="24"/>
          <w:szCs w:val="24"/>
          <w:lang w:val="pt-PT" w:eastAsia="pt-PT"/>
        </w:rPr>
        <w:t xml:space="preserve"> e estados degradados.</w:t>
      </w:r>
    </w:p>
    <w:p w14:paraId="5B23DC87" w14:textId="77777777" w:rsidR="00A62EFC" w:rsidRPr="00A62EFC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A62EFC">
        <w:rPr>
          <w:rFonts w:eastAsia="Times New Roman" w:cs="Times New Roman"/>
          <w:sz w:val="24"/>
          <w:szCs w:val="24"/>
          <w:lang w:val="pt-PT" w:eastAsia="pt-PT"/>
        </w:rPr>
        <w:t xml:space="preserve">A relação é sintetizada graficamente nas </w:t>
      </w:r>
      <w:r w:rsidRPr="00A62EFC">
        <w:rPr>
          <w:rFonts w:eastAsia="Times New Roman" w:cs="Times New Roman"/>
          <w:b/>
          <w:bCs/>
          <w:sz w:val="24"/>
          <w:szCs w:val="24"/>
          <w:lang w:val="pt-PT" w:eastAsia="pt-PT"/>
        </w:rPr>
        <w:t>Fig. 4 e 5 (págs. 4–5)</w:t>
      </w:r>
      <w:r w:rsidRPr="00A62EFC">
        <w:rPr>
          <w:rFonts w:eastAsia="Times New Roman" w:cs="Times New Roman"/>
          <w:sz w:val="24"/>
          <w:szCs w:val="24"/>
          <w:lang w:val="pt-PT" w:eastAsia="pt-PT"/>
        </w:rPr>
        <w:t>, onde:</w:t>
      </w:r>
    </w:p>
    <w:p w14:paraId="09D00D53" w14:textId="77777777" w:rsidR="00A62EFC" w:rsidRPr="00A62EFC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A62EFC">
        <w:rPr>
          <w:rFonts w:eastAsia="Times New Roman" w:cs="Times New Roman"/>
          <w:i/>
          <w:iCs/>
          <w:sz w:val="24"/>
          <w:szCs w:val="24"/>
          <w:lang w:val="pt-PT" w:eastAsia="pt-PT"/>
        </w:rPr>
        <w:t xml:space="preserve">reliability </w:t>
      </w:r>
      <w:r w:rsidRPr="00A62EFC">
        <w:rPr>
          <w:rFonts w:ascii="Cambria Math" w:eastAsia="Times New Roman" w:hAnsi="Cambria Math" w:cs="Cambria Math"/>
          <w:i/>
          <w:iCs/>
          <w:sz w:val="24"/>
          <w:szCs w:val="24"/>
          <w:lang w:val="pt-PT" w:eastAsia="pt-PT"/>
        </w:rPr>
        <w:t>⊂</w:t>
      </w:r>
      <w:r w:rsidRPr="00A62EFC">
        <w:rPr>
          <w:rFonts w:eastAsia="Times New Roman" w:cs="Times New Roman"/>
          <w:i/>
          <w:iCs/>
          <w:sz w:val="24"/>
          <w:szCs w:val="24"/>
          <w:lang w:val="pt-PT" w:eastAsia="pt-PT"/>
        </w:rPr>
        <w:t xml:space="preserve"> resilience </w:t>
      </w:r>
      <w:r w:rsidRPr="00A62EFC">
        <w:rPr>
          <w:rFonts w:ascii="Cambria Math" w:eastAsia="Times New Roman" w:hAnsi="Cambria Math" w:cs="Cambria Math"/>
          <w:i/>
          <w:iCs/>
          <w:sz w:val="24"/>
          <w:szCs w:val="24"/>
          <w:lang w:val="pt-PT" w:eastAsia="pt-PT"/>
        </w:rPr>
        <w:t>⊂</w:t>
      </w:r>
      <w:r w:rsidRPr="00A62EFC">
        <w:rPr>
          <w:rFonts w:eastAsia="Times New Roman" w:cs="Times New Roman"/>
          <w:i/>
          <w:iCs/>
          <w:sz w:val="24"/>
          <w:szCs w:val="24"/>
          <w:lang w:val="pt-PT" w:eastAsia="pt-PT"/>
        </w:rPr>
        <w:t xml:space="preserve"> power quality</w:t>
      </w:r>
      <w:r w:rsidRPr="00A62EFC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0D9BDA4F" w14:textId="77777777" w:rsidR="00A62EFC" w:rsidRPr="00A62EFC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A62EFC">
        <w:rPr>
          <w:rFonts w:ascii="Segoe UI Emoji" w:eastAsia="Times New Roman" w:hAnsi="Segoe UI Emoji" w:cs="Segoe UI Emoji"/>
          <w:sz w:val="24"/>
          <w:szCs w:val="24"/>
          <w:lang w:val="pt-PT" w:eastAsia="pt-PT"/>
        </w:rPr>
        <w:t>➡</w:t>
      </w: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️</w:t>
      </w:r>
      <w:r w:rsidRPr="00A62EFC">
        <w:rPr>
          <w:rFonts w:eastAsia="Times New Roman" w:cs="Times New Roman"/>
          <w:sz w:val="24"/>
          <w:szCs w:val="24"/>
          <w:lang w:val="pt-PT" w:eastAsia="pt-PT"/>
        </w:rPr>
        <w:t xml:space="preserve"> Esta distinção é </w:t>
      </w:r>
      <w:r w:rsidRPr="00A62EFC">
        <w:rPr>
          <w:rFonts w:eastAsia="Times New Roman" w:cs="Times New Roman"/>
          <w:b/>
          <w:bCs/>
          <w:sz w:val="24"/>
          <w:szCs w:val="24"/>
          <w:lang w:val="pt-PT" w:eastAsia="pt-PT"/>
        </w:rPr>
        <w:t>crítica</w:t>
      </w:r>
      <w:r w:rsidRPr="00A62EFC">
        <w:rPr>
          <w:rFonts w:eastAsia="Times New Roman" w:cs="Times New Roman"/>
          <w:sz w:val="24"/>
          <w:szCs w:val="24"/>
          <w:lang w:val="pt-PT" w:eastAsia="pt-PT"/>
        </w:rPr>
        <w:t xml:space="preserve"> e diretamente alinhada com o enquadramento conceitual da sua tese.</w:t>
      </w:r>
    </w:p>
    <w:p w14:paraId="2F12C22C" w14:textId="77777777" w:rsidR="00A62EFC" w:rsidRPr="00BC78E5" w:rsidRDefault="00A62EFC" w:rsidP="00A62EFC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5F95B3E4">
          <v:rect id="_x0000_i1026" style="width:0;height:1.5pt" o:hralign="center" o:hrstd="t" o:hr="t" fillcolor="#a0a0a0" stroked="f"/>
        </w:pict>
      </w:r>
    </w:p>
    <w:p w14:paraId="7DAFD1AC" w14:textId="77777777" w:rsidR="00A62EFC" w:rsidRPr="00BC78E5" w:rsidRDefault="00A62EFC" w:rsidP="00A62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BC78E5">
        <w:rPr>
          <w:rFonts w:eastAsia="Times New Roman" w:cs="Times New Roman"/>
          <w:b/>
          <w:bCs/>
          <w:sz w:val="27"/>
          <w:szCs w:val="27"/>
          <w:lang w:eastAsia="pt-PT"/>
        </w:rPr>
        <w:t>2.2 Classificação estruturada da resiliência</w:t>
      </w:r>
    </w:p>
    <w:p w14:paraId="5D0B9C75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O artigo propõe uma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classificação multidimensional da resiliência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(Tabela 2, pág. 4), segundo:</w:t>
      </w:r>
    </w:p>
    <w:p w14:paraId="217E20C7" w14:textId="77777777" w:rsidR="00A62EFC" w:rsidRPr="00BC78E5" w:rsidRDefault="00A62EFC" w:rsidP="00A6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Performance</w:t>
      </w:r>
      <w:r w:rsidRPr="00BC78E5">
        <w:rPr>
          <w:rFonts w:eastAsia="Times New Roman" w:cs="Times New Roman"/>
          <w:sz w:val="24"/>
          <w:szCs w:val="24"/>
          <w:lang w:eastAsia="pt-PT"/>
        </w:rPr>
        <w:t>: ativa / passiva;</w:t>
      </w:r>
    </w:p>
    <w:p w14:paraId="7EBC37D3" w14:textId="77777777" w:rsidR="00A62EFC" w:rsidRPr="00BC78E5" w:rsidRDefault="00A62EFC" w:rsidP="00A6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Fase temporal</w:t>
      </w:r>
      <w:r w:rsidRPr="00BC78E5">
        <w:rPr>
          <w:rFonts w:eastAsia="Times New Roman" w:cs="Times New Roman"/>
          <w:sz w:val="24"/>
          <w:szCs w:val="24"/>
          <w:lang w:eastAsia="pt-PT"/>
        </w:rPr>
        <w:t>: antes, durante e após o evento;</w:t>
      </w:r>
    </w:p>
    <w:p w14:paraId="15B68913" w14:textId="77777777" w:rsidR="00A62EFC" w:rsidRPr="00BC78E5" w:rsidRDefault="00A62EFC" w:rsidP="00A6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Implementação</w:t>
      </w:r>
      <w:r w:rsidRPr="00BC78E5">
        <w:rPr>
          <w:rFonts w:eastAsia="Times New Roman" w:cs="Times New Roman"/>
          <w:sz w:val="24"/>
          <w:szCs w:val="24"/>
          <w:lang w:eastAsia="pt-PT"/>
        </w:rPr>
        <w:t>: planeamento vs. operação;</w:t>
      </w:r>
    </w:p>
    <w:p w14:paraId="16B55547" w14:textId="77777777" w:rsidR="00A62EFC" w:rsidRPr="00BC78E5" w:rsidRDefault="00A62EFC" w:rsidP="00A6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Interdependência</w:t>
      </w:r>
      <w:r w:rsidRPr="00BC78E5">
        <w:rPr>
          <w:rFonts w:eastAsia="Times New Roman" w:cs="Times New Roman"/>
          <w:sz w:val="24"/>
          <w:szCs w:val="24"/>
          <w:lang w:eastAsia="pt-PT"/>
        </w:rPr>
        <w:t>: económica, humana, cadeia de suprimentos;</w:t>
      </w:r>
    </w:p>
    <w:p w14:paraId="4595412F" w14:textId="77777777" w:rsidR="00A62EFC" w:rsidRPr="00BC78E5" w:rsidRDefault="00A62EFC" w:rsidP="00A6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Tipo de evento</w:t>
      </w:r>
      <w:r w:rsidRPr="00BC78E5">
        <w:rPr>
          <w:rFonts w:eastAsia="Times New Roman" w:cs="Times New Roman"/>
          <w:sz w:val="24"/>
          <w:szCs w:val="24"/>
          <w:lang w:eastAsia="pt-PT"/>
        </w:rPr>
        <w:t>: físico vs. cibernético.</w:t>
      </w:r>
    </w:p>
    <w:p w14:paraId="09F2915A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➡️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Esta taxonomia é extremamente útil para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posicionar o seu índice de resiliência das LTs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como uma métrica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física, infraestrutural e pós-evento</w:t>
      </w:r>
      <w:r w:rsidRPr="00BC78E5">
        <w:rPr>
          <w:rFonts w:eastAsia="Times New Roman" w:cs="Times New Roman"/>
          <w:sz w:val="24"/>
          <w:szCs w:val="24"/>
          <w:lang w:eastAsia="pt-PT"/>
        </w:rPr>
        <w:t>.</w:t>
      </w:r>
    </w:p>
    <w:p w14:paraId="39BEE50A" w14:textId="77777777" w:rsidR="00A62EFC" w:rsidRPr="00BC78E5" w:rsidRDefault="00A62EFC" w:rsidP="00A62EFC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D2313C3">
          <v:rect id="_x0000_i1027" style="width:0;height:1.5pt" o:hralign="center" o:hrstd="t" o:hr="t" fillcolor="#a0a0a0" stroked="f"/>
        </w:pict>
      </w:r>
    </w:p>
    <w:p w14:paraId="6B658513" w14:textId="77777777" w:rsidR="00A62EFC" w:rsidRPr="00BC78E5" w:rsidRDefault="00A62EFC" w:rsidP="00A62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BC78E5">
        <w:rPr>
          <w:rFonts w:eastAsia="Times New Roman" w:cs="Times New Roman"/>
          <w:b/>
          <w:bCs/>
          <w:sz w:val="27"/>
          <w:szCs w:val="27"/>
          <w:lang w:eastAsia="pt-PT"/>
        </w:rPr>
        <w:t>2.3 Métricas de resiliência sistematizadas (contribuição central)</w:t>
      </w:r>
    </w:p>
    <w:p w14:paraId="30AF1EF1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O artigo faz uma das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mais completas revisões de métricas de resiliência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existentes até 2021, incluindo:</w:t>
      </w:r>
    </w:p>
    <w:p w14:paraId="4942D2E6" w14:textId="77777777" w:rsidR="00A62EFC" w:rsidRPr="00BC78E5" w:rsidRDefault="00A62EFC" w:rsidP="00A62EF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(i) Métricas desempenho × tempo</w:t>
      </w:r>
    </w:p>
    <w:p w14:paraId="23A1A91C" w14:textId="77777777" w:rsidR="00A62EFC" w:rsidRPr="00BC78E5" w:rsidRDefault="00A62EFC" w:rsidP="00A6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Resilience Triangle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(Bruneau);</w:t>
      </w:r>
    </w:p>
    <w:p w14:paraId="0BE14BB3" w14:textId="77777777" w:rsidR="00A62EFC" w:rsidRPr="00BC78E5" w:rsidRDefault="00A62EFC" w:rsidP="00A6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Resilience Trapezoid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(incluindo estado degradado pós-evento);</w:t>
      </w:r>
    </w:p>
    <w:p w14:paraId="5D21D22A" w14:textId="77777777" w:rsidR="00A62EFC" w:rsidRPr="00BC78E5" w:rsidRDefault="00A62EFC" w:rsidP="00A6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Resilience Curve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(Fig. 6, 8 e 9).</w:t>
      </w:r>
    </w:p>
    <w:p w14:paraId="758881AD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As equações (págs. 6–8) formalizam:</w:t>
      </w:r>
    </w:p>
    <w:p w14:paraId="10E3C3AF" w14:textId="77777777" w:rsidR="00A62EFC" w:rsidRPr="00BC78E5" w:rsidRDefault="00A62EFC" w:rsidP="00A62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degradação da funcionalidade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PT"/>
          </w:rPr>
          <m:t>Q(t)</m:t>
        </m:r>
      </m:oMath>
      <w:r w:rsidRPr="00BC78E5">
        <w:rPr>
          <w:rFonts w:eastAsia="Times New Roman" w:cs="Times New Roman"/>
          <w:sz w:val="24"/>
          <w:szCs w:val="24"/>
          <w:lang w:eastAsia="pt-PT"/>
        </w:rPr>
        <w:t>;</w:t>
      </w:r>
    </w:p>
    <w:p w14:paraId="0CD6D18A" w14:textId="77777777" w:rsidR="00A62EFC" w:rsidRPr="00BC78E5" w:rsidRDefault="00A62EFC" w:rsidP="00A62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lastRenderedPageBreak/>
        <w:t>integral de perda de desempenho;</w:t>
      </w:r>
    </w:p>
    <w:p w14:paraId="2831611E" w14:textId="77777777" w:rsidR="00A62EFC" w:rsidRPr="00BC78E5" w:rsidRDefault="00A62EFC" w:rsidP="00A62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tempos de deterioração e recuperação.</w:t>
      </w:r>
    </w:p>
    <w:p w14:paraId="09678867" w14:textId="77777777" w:rsidR="00A62EFC" w:rsidRPr="00BC78E5" w:rsidRDefault="00A62EFC" w:rsidP="00A62EF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(ii) Métrica FLEP (ΦΛΕΠ)</w:t>
      </w:r>
    </w:p>
    <w:p w14:paraId="63E89C5A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Detalhada na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Tabela 5 (pág. 9)</w:t>
      </w:r>
      <w:r w:rsidRPr="00BC78E5">
        <w:rPr>
          <w:rFonts w:eastAsia="Times New Roman" w:cs="Times New Roman"/>
          <w:sz w:val="24"/>
          <w:szCs w:val="24"/>
          <w:lang w:eastAsia="pt-PT"/>
        </w:rPr>
        <w:t>:</w:t>
      </w:r>
    </w:p>
    <w:p w14:paraId="6DC306BA" w14:textId="77777777" w:rsidR="00A62EFC" w:rsidRPr="00BC78E5" w:rsidRDefault="00A62EFC" w:rsidP="00A62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Φ – rapidez da degradação;</w:t>
      </w:r>
    </w:p>
    <w:p w14:paraId="6DE60C32" w14:textId="77777777" w:rsidR="00A62EFC" w:rsidRPr="00BC78E5" w:rsidRDefault="00A62EFC" w:rsidP="00A62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Λ – profundidade da degradação;</w:t>
      </w:r>
    </w:p>
    <w:p w14:paraId="2D6ED978" w14:textId="77777777" w:rsidR="00A62EFC" w:rsidRPr="00BC78E5" w:rsidRDefault="00A62EFC" w:rsidP="00A62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Ε – duração do estado degradado;</w:t>
      </w:r>
    </w:p>
    <w:p w14:paraId="10999B73" w14:textId="77777777" w:rsidR="00A62EFC" w:rsidRPr="00BC78E5" w:rsidRDefault="00A62EFC" w:rsidP="00A62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Π – rapidez da recuperação.</w:t>
      </w:r>
    </w:p>
    <w:p w14:paraId="6FED4FDC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➡️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Apesar de elegante, os próprios autores reconhecem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ambiguidade operacional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e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dificuldade prática de aplicação direta</w:t>
      </w:r>
      <w:r w:rsidRPr="00BC78E5">
        <w:rPr>
          <w:rFonts w:eastAsia="Times New Roman" w:cs="Times New Roman"/>
          <w:sz w:val="24"/>
          <w:szCs w:val="24"/>
          <w:lang w:eastAsia="pt-PT"/>
        </w:rPr>
        <w:t>.</w:t>
      </w:r>
    </w:p>
    <w:p w14:paraId="7E1D96E4" w14:textId="77777777" w:rsidR="00A62EFC" w:rsidRPr="00BC78E5" w:rsidRDefault="00A62EFC" w:rsidP="00A62EF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(iii) Métricas topológicas e MCDM</w:t>
      </w:r>
    </w:p>
    <w:p w14:paraId="50329F4A" w14:textId="77777777" w:rsidR="00A62EFC" w:rsidRPr="00BC78E5" w:rsidRDefault="00A62EFC" w:rsidP="00A62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uso de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teoria dos grafos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(centralidade, conectividade);</w:t>
      </w:r>
    </w:p>
    <w:p w14:paraId="4115BA77" w14:textId="77777777" w:rsidR="00A62EFC" w:rsidRPr="00BC78E5" w:rsidRDefault="00A62EFC" w:rsidP="00A62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métodos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MCDM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com ponderação subjetiva (Fig. 10).</w:t>
      </w:r>
    </w:p>
    <w:p w14:paraId="799F463D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➡️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Elevada complexidade e forte dependência de pesos arbitrários.</w:t>
      </w:r>
    </w:p>
    <w:p w14:paraId="6E567849" w14:textId="77777777" w:rsidR="00A62EFC" w:rsidRPr="00BC78E5" w:rsidRDefault="00A62EFC" w:rsidP="00A62EFC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5B9E2D4">
          <v:rect id="_x0000_i1028" style="width:0;height:1.5pt" o:hralign="center" o:hrstd="t" o:hr="t" fillcolor="#a0a0a0" stroked="f"/>
        </w:pict>
      </w:r>
    </w:p>
    <w:p w14:paraId="0651788B" w14:textId="77777777" w:rsidR="00A62EFC" w:rsidRPr="00BC78E5" w:rsidRDefault="00A62EFC" w:rsidP="00A62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BC78E5">
        <w:rPr>
          <w:rFonts w:eastAsia="Times New Roman" w:cs="Times New Roman"/>
          <w:b/>
          <w:bCs/>
          <w:sz w:val="27"/>
          <w:szCs w:val="27"/>
          <w:lang w:eastAsia="pt-PT"/>
        </w:rPr>
        <w:t>2.4 Fatores físicos e probabilísticos de falha</w:t>
      </w:r>
    </w:p>
    <w:p w14:paraId="7E8A0EE2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O artigo reconhece explicitamente que:</w:t>
      </w:r>
    </w:p>
    <w:p w14:paraId="116A029E" w14:textId="77777777" w:rsidR="00A62EFC" w:rsidRPr="00BC78E5" w:rsidRDefault="00A62EFC" w:rsidP="00A62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falha física de componentes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(linhas, ramos) pode ser modelada por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distribuições lognormais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dependentes da severidade do desastre (Eq. 4, pág. 6);</w:t>
      </w:r>
    </w:p>
    <w:p w14:paraId="2AF32D75" w14:textId="77777777" w:rsidR="00A62EFC" w:rsidRPr="00BC78E5" w:rsidRDefault="00A62EFC" w:rsidP="00A62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há ligação conceitual entre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intensidade do evento climático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e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probabilidade de falha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, mas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sem desenvolvimento específico para linhas de transmissão</w:t>
      </w:r>
      <w:r w:rsidRPr="00BC78E5">
        <w:rPr>
          <w:rFonts w:eastAsia="Times New Roman" w:cs="Times New Roman"/>
          <w:sz w:val="24"/>
          <w:szCs w:val="24"/>
          <w:lang w:eastAsia="pt-PT"/>
        </w:rPr>
        <w:t>.</w:t>
      </w:r>
    </w:p>
    <w:p w14:paraId="4E23B4F9" w14:textId="77777777" w:rsidR="00A62EFC" w:rsidRPr="00BC78E5" w:rsidRDefault="00A62EFC" w:rsidP="00A62EFC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73FA154">
          <v:rect id="_x0000_i1029" style="width:0;height:1.5pt" o:hralign="center" o:hrstd="t" o:hr="t" fillcolor="#a0a0a0" stroked="f"/>
        </w:pict>
      </w:r>
    </w:p>
    <w:p w14:paraId="4AE29BA2" w14:textId="77777777" w:rsidR="00A62EFC" w:rsidRPr="00BC78E5" w:rsidRDefault="00A62EFC" w:rsidP="00A62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BC78E5">
        <w:rPr>
          <w:rFonts w:eastAsia="Times New Roman" w:cs="Times New Roman"/>
          <w:b/>
          <w:bCs/>
          <w:sz w:val="27"/>
          <w:szCs w:val="27"/>
          <w:lang w:eastAsia="pt-PT"/>
        </w:rPr>
        <w:t>2.5 Estratégias de reforço da resiliência e fiabilidade</w:t>
      </w:r>
    </w:p>
    <w:p w14:paraId="72797442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Os autores sistematizam estratégias em dois grandes grupos:</w:t>
      </w:r>
    </w:p>
    <w:p w14:paraId="386E0316" w14:textId="77777777" w:rsidR="00A62EFC" w:rsidRPr="00BC78E5" w:rsidRDefault="00A62EFC" w:rsidP="00A62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Hardening físico</w:t>
      </w:r>
      <w:r w:rsidRPr="00BC78E5">
        <w:rPr>
          <w:rFonts w:eastAsia="Times New Roman" w:cs="Times New Roman"/>
          <w:sz w:val="24"/>
          <w:szCs w:val="24"/>
          <w:lang w:eastAsia="pt-PT"/>
        </w:rPr>
        <w:t>:</w:t>
      </w:r>
    </w:p>
    <w:p w14:paraId="6F792740" w14:textId="77777777" w:rsidR="00A62EFC" w:rsidRPr="00BC78E5" w:rsidRDefault="00A62EFC" w:rsidP="00A62E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reforço estrutural;</w:t>
      </w:r>
    </w:p>
    <w:p w14:paraId="15E3AE4D" w14:textId="77777777" w:rsidR="00A62EFC" w:rsidRPr="00BC78E5" w:rsidRDefault="00A62EFC" w:rsidP="00A62E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redundância;</w:t>
      </w:r>
    </w:p>
    <w:p w14:paraId="5AA270C0" w14:textId="77777777" w:rsidR="00A62EFC" w:rsidRPr="00BC78E5" w:rsidRDefault="00A62EFC" w:rsidP="00A62E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soterramento (distribuição);</w:t>
      </w:r>
    </w:p>
    <w:p w14:paraId="24CC591B" w14:textId="77777777" w:rsidR="00A62EFC" w:rsidRPr="00BC78E5" w:rsidRDefault="00A62EFC" w:rsidP="00A62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Estratégias operacionais</w:t>
      </w:r>
      <w:r w:rsidRPr="00BC78E5">
        <w:rPr>
          <w:rFonts w:eastAsia="Times New Roman" w:cs="Times New Roman"/>
          <w:sz w:val="24"/>
          <w:szCs w:val="24"/>
          <w:lang w:eastAsia="pt-PT"/>
        </w:rPr>
        <w:t>:</w:t>
      </w:r>
    </w:p>
    <w:p w14:paraId="4E83351A" w14:textId="77777777" w:rsidR="00A62EFC" w:rsidRPr="00BC78E5" w:rsidRDefault="00A62EFC" w:rsidP="00A62E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automação;</w:t>
      </w:r>
    </w:p>
    <w:p w14:paraId="1A990D8D" w14:textId="77777777" w:rsidR="00A62EFC" w:rsidRPr="00BC78E5" w:rsidRDefault="00A62EFC" w:rsidP="00A62E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self-healing;</w:t>
      </w:r>
    </w:p>
    <w:p w14:paraId="7CA98B4C" w14:textId="77777777" w:rsidR="00A62EFC" w:rsidRPr="00BC78E5" w:rsidRDefault="00A62EFC" w:rsidP="00A62E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lastRenderedPageBreak/>
        <w:t>ilhamento intencional;</w:t>
      </w:r>
    </w:p>
    <w:p w14:paraId="0F51E1D7" w14:textId="77777777" w:rsidR="00A62EFC" w:rsidRPr="00BC78E5" w:rsidRDefault="00A62EFC" w:rsidP="00A62E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gestão de cargas críticas.</w:t>
      </w:r>
    </w:p>
    <w:p w14:paraId="5351B911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➡️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A transmissão é tratada de forma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genérica</w:t>
      </w:r>
      <w:r w:rsidRPr="00BC78E5">
        <w:rPr>
          <w:rFonts w:eastAsia="Times New Roman" w:cs="Times New Roman"/>
          <w:sz w:val="24"/>
          <w:szCs w:val="24"/>
          <w:lang w:eastAsia="pt-PT"/>
        </w:rPr>
        <w:t>, sem aprofundamento estrutural em LTs.</w:t>
      </w:r>
    </w:p>
    <w:p w14:paraId="0135915A" w14:textId="77777777" w:rsidR="00A62EFC" w:rsidRPr="00BC78E5" w:rsidRDefault="00A62EFC" w:rsidP="00A62EFC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7F1CE3D6">
          <v:rect id="_x0000_i1030" style="width:0;height:1.5pt" o:hralign="center" o:hrstd="t" o:hr="t" fillcolor="#a0a0a0" stroked="f"/>
        </w:pict>
      </w:r>
    </w:p>
    <w:p w14:paraId="7F15EACE" w14:textId="77777777" w:rsidR="00A62EFC" w:rsidRPr="00BC78E5" w:rsidRDefault="00A62EFC" w:rsidP="00A62E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BC78E5">
        <w:rPr>
          <w:rFonts w:eastAsia="Times New Roman" w:cs="Times New Roman"/>
          <w:b/>
          <w:bCs/>
          <w:sz w:val="36"/>
          <w:szCs w:val="36"/>
          <w:lang w:eastAsia="pt-PT"/>
        </w:rPr>
        <w:t>3. Limitações face ao seu doutoramento</w:t>
      </w:r>
    </w:p>
    <w:p w14:paraId="06DDDB20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❌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Não propõe:</w:t>
      </w:r>
    </w:p>
    <w:p w14:paraId="082C0410" w14:textId="77777777" w:rsidR="00A62EFC" w:rsidRPr="00BC78E5" w:rsidRDefault="00A62EFC" w:rsidP="00A62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um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índice único, simples e aplicável</w:t>
      </w:r>
      <w:r w:rsidRPr="00BC78E5">
        <w:rPr>
          <w:rFonts w:eastAsia="Times New Roman" w:cs="Times New Roman"/>
          <w:sz w:val="24"/>
          <w:szCs w:val="24"/>
          <w:lang w:eastAsia="pt-PT"/>
        </w:rPr>
        <w:t>;</w:t>
      </w:r>
    </w:p>
    <w:p w14:paraId="1BA49E73" w14:textId="77777777" w:rsidR="00A62EFC" w:rsidRPr="00BC78E5" w:rsidRDefault="00A62EFC" w:rsidP="00A62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uma métrica específica para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linhas de transmissão</w:t>
      </w:r>
      <w:r w:rsidRPr="00BC78E5">
        <w:rPr>
          <w:rFonts w:eastAsia="Times New Roman" w:cs="Times New Roman"/>
          <w:sz w:val="24"/>
          <w:szCs w:val="24"/>
          <w:lang w:eastAsia="pt-PT"/>
        </w:rPr>
        <w:t>;</w:t>
      </w:r>
    </w:p>
    <w:p w14:paraId="155F63F1" w14:textId="77777777" w:rsidR="00A62EFC" w:rsidRPr="00BC78E5" w:rsidRDefault="00A62EFC" w:rsidP="00A62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ligação explícita e operacional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clima → falha física da LT → impacto sistémico</w:t>
      </w:r>
      <w:r w:rsidRPr="00BC78E5">
        <w:rPr>
          <w:rFonts w:eastAsia="Times New Roman" w:cs="Times New Roman"/>
          <w:sz w:val="24"/>
          <w:szCs w:val="24"/>
          <w:lang w:eastAsia="pt-PT"/>
        </w:rPr>
        <w:t>.</w:t>
      </w:r>
    </w:p>
    <w:p w14:paraId="0789D6F1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❌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Grande parte das métricas:</w:t>
      </w:r>
    </w:p>
    <w:p w14:paraId="4E078C7A" w14:textId="77777777" w:rsidR="00A62EFC" w:rsidRPr="00BC78E5" w:rsidRDefault="00A62EFC" w:rsidP="00A62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é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difícil de operacionalizar</w:t>
      </w:r>
      <w:r w:rsidRPr="00BC78E5">
        <w:rPr>
          <w:rFonts w:eastAsia="Times New Roman" w:cs="Times New Roman"/>
          <w:sz w:val="24"/>
          <w:szCs w:val="24"/>
          <w:lang w:eastAsia="pt-PT"/>
        </w:rPr>
        <w:t>;</w:t>
      </w:r>
    </w:p>
    <w:p w14:paraId="12A5159D" w14:textId="77777777" w:rsidR="00A62EFC" w:rsidRPr="00BC78E5" w:rsidRDefault="00A62EFC" w:rsidP="00A62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depende de dados nem sempre disponíveis;</w:t>
      </w:r>
    </w:p>
    <w:p w14:paraId="623AF416" w14:textId="77777777" w:rsidR="00A62EFC" w:rsidRPr="00BC78E5" w:rsidRDefault="00A62EFC" w:rsidP="00A62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envolve elevada carga computacional ou subjetividade (MCDM).</w:t>
      </w:r>
    </w:p>
    <w:p w14:paraId="0AB2D7D9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➡️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Essas limitações são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explicitamente reconhecidas pelos autores</w:t>
      </w:r>
      <w:r w:rsidRPr="00BC78E5">
        <w:rPr>
          <w:rFonts w:eastAsia="Times New Roman" w:cs="Times New Roman"/>
          <w:sz w:val="24"/>
          <w:szCs w:val="24"/>
          <w:lang w:eastAsia="pt-PT"/>
        </w:rPr>
        <w:t>.</w:t>
      </w:r>
    </w:p>
    <w:p w14:paraId="0A0F49DF" w14:textId="77777777" w:rsidR="00A62EFC" w:rsidRPr="00BC78E5" w:rsidRDefault="00A62EFC" w:rsidP="00A62EFC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25D7E28">
          <v:rect id="_x0000_i1031" style="width:0;height:1.5pt" o:hralign="center" o:hrstd="t" o:hr="t" fillcolor="#a0a0a0" stroked="f"/>
        </w:pict>
      </w:r>
    </w:p>
    <w:p w14:paraId="07919FAB" w14:textId="77777777" w:rsidR="00A62EFC" w:rsidRPr="00BC78E5" w:rsidRDefault="00A62EFC" w:rsidP="00A62E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BC78E5">
        <w:rPr>
          <w:rFonts w:eastAsia="Times New Roman" w:cs="Times New Roman"/>
          <w:b/>
          <w:bCs/>
          <w:sz w:val="36"/>
          <w:szCs w:val="36"/>
          <w:lang w:eastAsia="pt-PT"/>
        </w:rPr>
        <w:t>4. Valor real para a tese</w:t>
      </w:r>
    </w:p>
    <w:p w14:paraId="78A72AAD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🟢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Valor ALTÍSSIMO (artigo estruturante)</w:t>
      </w:r>
    </w:p>
    <w:p w14:paraId="401D1A98" w14:textId="77777777" w:rsidR="00A62EFC" w:rsidRPr="00BC78E5" w:rsidRDefault="00A62EFC" w:rsidP="00A62E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>Este trabalho é fundamental porque:</w:t>
      </w:r>
    </w:p>
    <w:p w14:paraId="37921ADA" w14:textId="77777777" w:rsidR="00A62EFC" w:rsidRPr="00BC78E5" w:rsidRDefault="00A62EFC" w:rsidP="00A62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consolida e organiza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todas as principais métricas existentes</w:t>
      </w:r>
      <w:r w:rsidRPr="00BC78E5">
        <w:rPr>
          <w:rFonts w:eastAsia="Times New Roman" w:cs="Times New Roman"/>
          <w:sz w:val="24"/>
          <w:szCs w:val="24"/>
          <w:lang w:eastAsia="pt-PT"/>
        </w:rPr>
        <w:t>;</w:t>
      </w:r>
    </w:p>
    <w:p w14:paraId="7B1CEAAB" w14:textId="77777777" w:rsidR="00A62EFC" w:rsidRPr="00BC78E5" w:rsidRDefault="00A62EFC" w:rsidP="00A62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demonstra claramente que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não há consenso nem padronização</w:t>
      </w:r>
      <w:r w:rsidRPr="00BC78E5">
        <w:rPr>
          <w:rFonts w:eastAsia="Times New Roman" w:cs="Times New Roman"/>
          <w:sz w:val="24"/>
          <w:szCs w:val="24"/>
          <w:lang w:eastAsia="pt-PT"/>
        </w:rPr>
        <w:t>;</w:t>
      </w:r>
    </w:p>
    <w:p w14:paraId="1F639B48" w14:textId="77777777" w:rsidR="00A62EFC" w:rsidRPr="00BC78E5" w:rsidRDefault="00A62EFC" w:rsidP="00A62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evidencia 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lacuna prática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que a sua tese pretende preencher;</w:t>
      </w:r>
    </w:p>
    <w:p w14:paraId="4B48E80E" w14:textId="77777777" w:rsidR="00A62EFC" w:rsidRPr="00BC78E5" w:rsidRDefault="00A62EFC" w:rsidP="00A62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fornece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base conceitual, matemática e bibliográfica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para comparação direta com o seu índice;</w:t>
      </w:r>
    </w:p>
    <w:p w14:paraId="46FB4531" w14:textId="77777777" w:rsidR="00A62EFC" w:rsidRPr="00BC78E5" w:rsidRDefault="00A62EFC" w:rsidP="00A62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eastAsia="Times New Roman" w:cs="Times New Roman"/>
          <w:sz w:val="24"/>
          <w:szCs w:val="24"/>
          <w:lang w:eastAsia="pt-PT"/>
        </w:rPr>
        <w:t xml:space="preserve">legitima cientificamente a busca por uma </w:t>
      </w:r>
      <w:r w:rsidRPr="00BC78E5">
        <w:rPr>
          <w:rFonts w:eastAsia="Times New Roman" w:cs="Times New Roman"/>
          <w:b/>
          <w:bCs/>
          <w:sz w:val="24"/>
          <w:szCs w:val="24"/>
          <w:lang w:eastAsia="pt-PT"/>
        </w:rPr>
        <w:t>métrica mais simples, física e específica para LTs</w:t>
      </w:r>
      <w:r w:rsidRPr="00BC78E5">
        <w:rPr>
          <w:rFonts w:eastAsia="Times New Roman" w:cs="Times New Roman"/>
          <w:sz w:val="24"/>
          <w:szCs w:val="24"/>
          <w:lang w:eastAsia="pt-PT"/>
        </w:rPr>
        <w:t>.</w:t>
      </w:r>
    </w:p>
    <w:p w14:paraId="309A360E" w14:textId="77777777" w:rsidR="00A62EFC" w:rsidRPr="00BC78E5" w:rsidRDefault="00A62EFC" w:rsidP="00A62EFC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7BD9049">
          <v:rect id="_x0000_i1032" style="width:0;height:1.5pt" o:hralign="center" o:hrstd="t" o:hr="t" fillcolor="#a0a0a0" stroked="f"/>
        </w:pict>
      </w:r>
    </w:p>
    <w:p w14:paraId="271874FB" w14:textId="77777777" w:rsidR="00A62EFC" w:rsidRPr="00BC78E5" w:rsidRDefault="00A62EFC" w:rsidP="00A62E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BC78E5">
        <w:rPr>
          <w:rFonts w:eastAsia="Times New Roman" w:cs="Times New Roman"/>
          <w:b/>
          <w:bCs/>
          <w:sz w:val="36"/>
          <w:szCs w:val="36"/>
          <w:lang w:eastAsia="pt-PT"/>
        </w:rPr>
        <w:t>5. Encaixe na tese</w:t>
      </w:r>
    </w:p>
    <w:p w14:paraId="704C7601" w14:textId="77777777" w:rsidR="00A62EFC" w:rsidRPr="00BC78E5" w:rsidRDefault="00A62EFC" w:rsidP="00A62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Symbol" w:eastAsia="Times New Roman" w:hAnsi="Segoe UI Symbol" w:cs="Segoe UI Symbol"/>
          <w:sz w:val="24"/>
          <w:szCs w:val="24"/>
          <w:lang w:eastAsia="pt-PT"/>
        </w:rPr>
        <w:lastRenderedPageBreak/>
        <w:t>☑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Revisão da literatura (estado da arte em métricas de resiliência)</w:t>
      </w:r>
    </w:p>
    <w:p w14:paraId="405806BD" w14:textId="77777777" w:rsidR="00A62EFC" w:rsidRPr="00BC78E5" w:rsidRDefault="00A62EFC" w:rsidP="00A62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Symbol" w:eastAsia="Times New Roman" w:hAnsi="Segoe UI Symbol" w:cs="Segoe UI Symbol"/>
          <w:sz w:val="24"/>
          <w:szCs w:val="24"/>
          <w:lang w:eastAsia="pt-PT"/>
        </w:rPr>
        <w:t>☑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Fundamentação conceitual (resiliência vs. fiabilidade)</w:t>
      </w:r>
    </w:p>
    <w:p w14:paraId="0C075C9A" w14:textId="77777777" w:rsidR="00A62EFC" w:rsidRPr="00BC78E5" w:rsidRDefault="00A62EFC" w:rsidP="00A62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Symbol" w:eastAsia="Times New Roman" w:hAnsi="Segoe UI Symbol" w:cs="Segoe UI Symbol"/>
          <w:sz w:val="24"/>
          <w:szCs w:val="24"/>
          <w:lang w:eastAsia="pt-PT"/>
        </w:rPr>
        <w:t>☑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Identificação explícita da lacuna científica</w:t>
      </w:r>
    </w:p>
    <w:p w14:paraId="11782E8E" w14:textId="77777777" w:rsidR="00A62EFC" w:rsidRPr="00BC78E5" w:rsidRDefault="00A62EFC" w:rsidP="00A62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Symbol" w:eastAsia="Times New Roman" w:hAnsi="Segoe UI Symbol" w:cs="Segoe UI Symbol"/>
          <w:sz w:val="24"/>
          <w:szCs w:val="24"/>
          <w:lang w:eastAsia="pt-PT"/>
        </w:rPr>
        <w:t>☑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Justificativa da proposta de novo índice</w:t>
      </w:r>
    </w:p>
    <w:p w14:paraId="4A9EB050" w14:textId="77777777" w:rsidR="00A62EFC" w:rsidRPr="00BC78E5" w:rsidRDefault="00A62EFC" w:rsidP="00A62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BC78E5">
        <w:rPr>
          <w:rFonts w:ascii="Segoe UI Emoji" w:eastAsia="Times New Roman" w:hAnsi="Segoe UI Emoji" w:cs="Segoe UI Emoji"/>
          <w:sz w:val="24"/>
          <w:szCs w:val="24"/>
          <w:lang w:eastAsia="pt-PT"/>
        </w:rPr>
        <w:t>⛔</w:t>
      </w:r>
      <w:r w:rsidRPr="00BC78E5">
        <w:rPr>
          <w:rFonts w:eastAsia="Times New Roman" w:cs="Times New Roman"/>
          <w:sz w:val="24"/>
          <w:szCs w:val="24"/>
          <w:lang w:eastAsia="pt-PT"/>
        </w:rPr>
        <w:t xml:space="preserve"> Aplicação direta a LTs (não)</w:t>
      </w:r>
    </w:p>
    <w:p w14:paraId="44DEC5C7" w14:textId="77777777" w:rsidR="00A62EFC" w:rsidRPr="00BC78E5" w:rsidRDefault="00A62EFC" w:rsidP="00A62EFC"/>
    <w:p w14:paraId="5E9A4202" w14:textId="77777777" w:rsidR="004A2627" w:rsidRPr="009660FD" w:rsidRDefault="004A2627" w:rsidP="004A2627">
      <w:pPr>
        <w:rPr>
          <w:lang w:val="pt-BR"/>
        </w:rPr>
      </w:pPr>
    </w:p>
    <w:sectPr w:rsidR="004A2627" w:rsidRPr="009660FD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61C"/>
    <w:multiLevelType w:val="multilevel"/>
    <w:tmpl w:val="B1F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5576"/>
    <w:multiLevelType w:val="multilevel"/>
    <w:tmpl w:val="D214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71D93"/>
    <w:multiLevelType w:val="multilevel"/>
    <w:tmpl w:val="84A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45A6B"/>
    <w:multiLevelType w:val="multilevel"/>
    <w:tmpl w:val="197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22E06"/>
    <w:multiLevelType w:val="multilevel"/>
    <w:tmpl w:val="A692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A609B"/>
    <w:multiLevelType w:val="multilevel"/>
    <w:tmpl w:val="BDC8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E1DA6"/>
    <w:multiLevelType w:val="multilevel"/>
    <w:tmpl w:val="66B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D07DD"/>
    <w:multiLevelType w:val="multilevel"/>
    <w:tmpl w:val="ADF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B78B1"/>
    <w:multiLevelType w:val="multilevel"/>
    <w:tmpl w:val="BE7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06BF3"/>
    <w:multiLevelType w:val="multilevel"/>
    <w:tmpl w:val="1F8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0636C"/>
    <w:multiLevelType w:val="multilevel"/>
    <w:tmpl w:val="D50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A6622"/>
    <w:multiLevelType w:val="multilevel"/>
    <w:tmpl w:val="FF0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83230">
    <w:abstractNumId w:val="0"/>
  </w:num>
  <w:num w:numId="2" w16cid:durableId="1222715482">
    <w:abstractNumId w:val="3"/>
  </w:num>
  <w:num w:numId="3" w16cid:durableId="1411274718">
    <w:abstractNumId w:val="8"/>
  </w:num>
  <w:num w:numId="4" w16cid:durableId="1045258524">
    <w:abstractNumId w:val="5"/>
  </w:num>
  <w:num w:numId="5" w16cid:durableId="1106854197">
    <w:abstractNumId w:val="4"/>
  </w:num>
  <w:num w:numId="6" w16cid:durableId="1263297577">
    <w:abstractNumId w:val="10"/>
  </w:num>
  <w:num w:numId="7" w16cid:durableId="61759713">
    <w:abstractNumId w:val="7"/>
  </w:num>
  <w:num w:numId="8" w16cid:durableId="893854298">
    <w:abstractNumId w:val="9"/>
  </w:num>
  <w:num w:numId="9" w16cid:durableId="27412932">
    <w:abstractNumId w:val="1"/>
  </w:num>
  <w:num w:numId="10" w16cid:durableId="354384880">
    <w:abstractNumId w:val="2"/>
  </w:num>
  <w:num w:numId="11" w16cid:durableId="561138350">
    <w:abstractNumId w:val="11"/>
  </w:num>
  <w:num w:numId="12" w16cid:durableId="244462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27"/>
    <w:rsid w:val="000131F2"/>
    <w:rsid w:val="0007293B"/>
    <w:rsid w:val="0008424C"/>
    <w:rsid w:val="00096FFB"/>
    <w:rsid w:val="000C625D"/>
    <w:rsid w:val="000D45BD"/>
    <w:rsid w:val="001340D3"/>
    <w:rsid w:val="00172112"/>
    <w:rsid w:val="00196796"/>
    <w:rsid w:val="0024739D"/>
    <w:rsid w:val="00347332"/>
    <w:rsid w:val="00393441"/>
    <w:rsid w:val="0039444F"/>
    <w:rsid w:val="003F704C"/>
    <w:rsid w:val="004234AF"/>
    <w:rsid w:val="00423B9B"/>
    <w:rsid w:val="00435A17"/>
    <w:rsid w:val="004A2627"/>
    <w:rsid w:val="004B5BB7"/>
    <w:rsid w:val="00502614"/>
    <w:rsid w:val="005272F0"/>
    <w:rsid w:val="00595B01"/>
    <w:rsid w:val="0061413D"/>
    <w:rsid w:val="00701DA0"/>
    <w:rsid w:val="007B1727"/>
    <w:rsid w:val="007E69F0"/>
    <w:rsid w:val="00804B85"/>
    <w:rsid w:val="008226B2"/>
    <w:rsid w:val="008C0D5E"/>
    <w:rsid w:val="009660FD"/>
    <w:rsid w:val="00A04542"/>
    <w:rsid w:val="00A62EFC"/>
    <w:rsid w:val="00A74270"/>
    <w:rsid w:val="00A773DD"/>
    <w:rsid w:val="00AA4524"/>
    <w:rsid w:val="00AC5231"/>
    <w:rsid w:val="00B513FA"/>
    <w:rsid w:val="00B7708D"/>
    <w:rsid w:val="00B811CD"/>
    <w:rsid w:val="00BD2C19"/>
    <w:rsid w:val="00BF51C6"/>
    <w:rsid w:val="00BF572A"/>
    <w:rsid w:val="00C03A12"/>
    <w:rsid w:val="00C26A90"/>
    <w:rsid w:val="00CE4C5C"/>
    <w:rsid w:val="00D25A09"/>
    <w:rsid w:val="00D36EA1"/>
    <w:rsid w:val="00D63D8E"/>
    <w:rsid w:val="00ED59D0"/>
    <w:rsid w:val="00EF273B"/>
    <w:rsid w:val="00F27993"/>
    <w:rsid w:val="00F77278"/>
    <w:rsid w:val="00FD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D11C9"/>
  <w15:chartTrackingRefBased/>
  <w15:docId w15:val="{FAB923A6-B58F-4921-8155-5A9098A2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6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627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27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27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27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27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A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27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A2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7</Pages>
  <Words>1633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5</cp:revision>
  <dcterms:created xsi:type="dcterms:W3CDTF">2025-05-09T19:47:00Z</dcterms:created>
  <dcterms:modified xsi:type="dcterms:W3CDTF">2026-01-17T11:59:00Z</dcterms:modified>
</cp:coreProperties>
</file>