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22E9" w14:textId="33DE72BC" w:rsidR="00B36552" w:rsidRPr="00111E53" w:rsidRDefault="00111E53">
      <w:pPr>
        <w:rPr>
          <w:rFonts w:cs="Times New Roman"/>
          <w:lang w:val="en-US"/>
        </w:rPr>
      </w:pPr>
      <w:r w:rsidRPr="00954C38">
        <w:rPr>
          <w:rFonts w:eastAsia="Times New Roman" w:cs="Times New Roman"/>
          <w:kern w:val="0"/>
          <w:lang w:val="en-US" w:eastAsia="pt-PT"/>
          <w14:ligatures w14:val="none"/>
        </w:rPr>
        <w:t>1973 Resilience and Stability of Ecological Systems (Holling)</w:t>
      </w:r>
    </w:p>
    <w:p w14:paraId="01D5028C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val="en-US" w:eastAsia="pt-PT"/>
          <w14:ligatures w14:val="none"/>
        </w:rPr>
      </w:pPr>
      <w:proofErr w:type="spellStart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>Referência</w:t>
      </w:r>
      <w:proofErr w:type="spellEnd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 xml:space="preserve"> </w:t>
      </w:r>
      <w:proofErr w:type="spellStart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>analisada</w:t>
      </w:r>
      <w:proofErr w:type="spellEnd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br/>
        <w:t xml:space="preserve">HOLLING, C. S. </w:t>
      </w:r>
      <w:r w:rsidRPr="002B4E40">
        <w:rPr>
          <w:rFonts w:eastAsia="Times New Roman" w:cs="Times New Roman"/>
          <w:i/>
          <w:iCs/>
          <w:kern w:val="0"/>
          <w:lang w:val="en-US" w:eastAsia="pt-PT"/>
          <w14:ligatures w14:val="none"/>
        </w:rPr>
        <w:t>Resilience and Stability of Ecological Systems</w:t>
      </w:r>
      <w:r w:rsidRPr="002B4E40">
        <w:rPr>
          <w:rFonts w:eastAsia="Times New Roman" w:cs="Times New Roman"/>
          <w:kern w:val="0"/>
          <w:lang w:val="en-US" w:eastAsia="pt-PT"/>
          <w14:ligatures w14:val="none"/>
        </w:rPr>
        <w:t xml:space="preserve">. </w:t>
      </w:r>
      <w:r w:rsidRPr="00111E53">
        <w:rPr>
          <w:rFonts w:eastAsia="Times New Roman" w:cs="Times New Roman"/>
          <w:kern w:val="0"/>
          <w:lang w:val="en-US" w:eastAsia="pt-PT"/>
          <w14:ligatures w14:val="none"/>
        </w:rPr>
        <w:t xml:space="preserve">Annual Review of Ecology and Systematics, vol. 4, pp. 1–23, 1973. </w:t>
      </w:r>
    </w:p>
    <w:p w14:paraId="1C9A4664" w14:textId="77777777" w:rsidR="00111E53" w:rsidRPr="002B4E40" w:rsidRDefault="00111E53" w:rsidP="00111E53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proofErr w:type="spellStart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>Síntese</w:t>
      </w:r>
      <w:proofErr w:type="spellEnd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 xml:space="preserve"> </w:t>
      </w:r>
      <w:proofErr w:type="spellStart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>técnica</w:t>
      </w:r>
      <w:proofErr w:type="spellEnd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 xml:space="preserve"> </w:t>
      </w:r>
      <w:proofErr w:type="spellStart"/>
      <w:r w:rsidRPr="002B4E40">
        <w:rPr>
          <w:rFonts w:eastAsia="Times New Roman" w:cs="Times New Roman"/>
          <w:kern w:val="0"/>
          <w:lang w:val="en-US" w:eastAsia="pt-PT"/>
          <w14:ligatures w14:val="none"/>
        </w:rPr>
        <w:t>objetiva</w:t>
      </w:r>
      <w:proofErr w:type="spellEnd"/>
    </w:p>
    <w:p w14:paraId="658B35B4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Este artigo é fundacional para o conceito moderno de resiliência e marca uma </w:t>
      </w:r>
      <w:proofErr w:type="spellStart"/>
      <w:r w:rsidRPr="00111E53">
        <w:rPr>
          <w:rFonts w:eastAsia="Times New Roman" w:cs="Times New Roman"/>
          <w:kern w:val="0"/>
          <w:lang w:eastAsia="pt-PT"/>
          <w14:ligatures w14:val="none"/>
        </w:rPr>
        <w:t>ruptura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 conceitual clara com a visão clássica de estabilidade baseada exclusivamente em equilíbrio.</w:t>
      </w:r>
    </w:p>
    <w:p w14:paraId="28983041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Os principais contributos técnicos são:</w:t>
      </w:r>
    </w:p>
    <w:p w14:paraId="717FFCBC" w14:textId="77777777" w:rsidR="00111E53" w:rsidRPr="00111E53" w:rsidRDefault="00111E53" w:rsidP="00111E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Distinção formal entre estabilidade e resiliência</w:t>
      </w:r>
    </w:p>
    <w:p w14:paraId="560FB14E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>Stability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>: capacidade de retorno rápido ao equilíbrio após uma perturbação (visão local, linear, próxima do equilíbrio).</w:t>
      </w:r>
    </w:p>
    <w:p w14:paraId="3311E4AA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>Resilience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: capacidade </w:t>
      </w:r>
      <w:proofErr w:type="gramStart"/>
      <w:r w:rsidRPr="00111E53">
        <w:rPr>
          <w:rFonts w:eastAsia="Times New Roman" w:cs="Times New Roman"/>
          <w:kern w:val="0"/>
          <w:lang w:eastAsia="pt-PT"/>
          <w14:ligatures w14:val="none"/>
        </w:rPr>
        <w:t>do</w:t>
      </w:r>
      <w:proofErr w:type="gramEnd"/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 sistema absorver perturbações, manter as relações funcionais essenciais e persistir, mesmo com grandes flutuações.</w:t>
      </w:r>
      <w:r w:rsidRPr="00111E53">
        <w:rPr>
          <w:rFonts w:eastAsia="Times New Roman" w:cs="Times New Roman"/>
          <w:kern w:val="0"/>
          <w:lang w:eastAsia="pt-PT"/>
          <w14:ligatures w14:val="none"/>
        </w:rPr>
        <w:br/>
        <w:t>→ Esta distinção é explicitamente formulada e justificada teoricamente.</w:t>
      </w:r>
    </w:p>
    <w:p w14:paraId="507E13BD" w14:textId="77777777" w:rsidR="00111E53" w:rsidRPr="00111E53" w:rsidRDefault="00111E53" w:rsidP="00111E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Introdução do conceito de “domínios de atração”</w:t>
      </w:r>
    </w:p>
    <w:p w14:paraId="0FC82C87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Sistemas podem ter múltiplos regimes operacionais estáveis.</w:t>
      </w:r>
    </w:p>
    <w:p w14:paraId="0D60FBFB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O foco relevante passa a ser a distância até o limite do domínio de atração, e não a proximidade de um ponto de equilíbrio.</w:t>
      </w:r>
    </w:p>
    <w:p w14:paraId="5CAF83DB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Atravessar esse limite implica mudança estrutural irreversível do sistema.</w:t>
      </w:r>
    </w:p>
    <w:p w14:paraId="546240D3" w14:textId="77777777" w:rsidR="00111E53" w:rsidRPr="00111E53" w:rsidRDefault="00111E53" w:rsidP="00111E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Resiliência como propriedade sistêmica, não local</w:t>
      </w:r>
    </w:p>
    <w:p w14:paraId="585DB771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A análise desloca-se de métricas locais (amplitude, frequência, </w:t>
      </w:r>
      <w:proofErr w:type="spellStart"/>
      <w:r w:rsidRPr="00111E53">
        <w:rPr>
          <w:rFonts w:eastAsia="Times New Roman" w:cs="Times New Roman"/>
          <w:kern w:val="0"/>
          <w:lang w:eastAsia="pt-PT"/>
          <w14:ligatures w14:val="none"/>
        </w:rPr>
        <w:t>damping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>) para propriedades globais do sistema.</w:t>
      </w:r>
    </w:p>
    <w:p w14:paraId="1E534D42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Eventos raros, choques externos e variabilidade são tratados como parte integrante da dinâmica, não como exceções.</w:t>
      </w:r>
    </w:p>
    <w:p w14:paraId="7CC7A355" w14:textId="77777777" w:rsidR="00111E53" w:rsidRPr="00111E53" w:rsidRDefault="00111E53" w:rsidP="00111E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Instabilidade pode aumentar resiliência</w:t>
      </w:r>
    </w:p>
    <w:p w14:paraId="11D1E33A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Sistemas altamente variáveis (baixa estabilidade clássica) podem ser mais resilientes.</w:t>
      </w:r>
    </w:p>
    <w:p w14:paraId="3C06D88D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Este ponto é crítico e contraria abordagens de engenharia excessivamente focadas em robustez estática.</w:t>
      </w:r>
    </w:p>
    <w:p w14:paraId="6DAE60B4" w14:textId="77777777" w:rsidR="00111E53" w:rsidRPr="00111E53" w:rsidRDefault="00111E53" w:rsidP="00111E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Base conceitual para aplicações fora da ecologia</w:t>
      </w:r>
    </w:p>
    <w:p w14:paraId="55C0BE2B" w14:textId="77777777" w:rsidR="00111E53" w:rsidRPr="00111E53" w:rsidRDefault="00111E53" w:rsidP="00111E5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Embora ecológico, o arcabouço é explicitamente generalizável a sistemas complexos sujeitos a incerteza, choques e não linearidades — exatamente o caso de redes elétricas de transmissão sob eventos extremos.</w:t>
      </w:r>
    </w:p>
    <w:p w14:paraId="32A4191B" w14:textId="01E920BC" w:rsidR="00111E53" w:rsidRPr="00111E53" w:rsidRDefault="00111E53" w:rsidP="00111E53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Relevância direta para a tese (linhas de transmissão)</w:t>
      </w:r>
    </w:p>
    <w:p w14:paraId="5C63FB3F" w14:textId="14005349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Este artigo é estruturalmente alinhado com o trabalho:</w:t>
      </w:r>
    </w:p>
    <w:p w14:paraId="02AA82F2" w14:textId="77777777" w:rsidR="00111E53" w:rsidRPr="00111E53" w:rsidRDefault="00111E53" w:rsidP="00111E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Dá fundamentação teórica sólida para:</w:t>
      </w:r>
    </w:p>
    <w:p w14:paraId="626E3655" w14:textId="77777777" w:rsidR="00111E53" w:rsidRPr="00111E53" w:rsidRDefault="00111E53" w:rsidP="00111E5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tratar desligamentos como mudança de regime e não apenas falhas locais;</w:t>
      </w:r>
    </w:p>
    <w:p w14:paraId="39275278" w14:textId="77777777" w:rsidR="00111E53" w:rsidRPr="00111E53" w:rsidRDefault="00111E53" w:rsidP="00111E5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focar em persistência do serviço, não apenas retorno rápido ao estado pré-falha;</w:t>
      </w:r>
    </w:p>
    <w:p w14:paraId="34938C2D" w14:textId="77777777" w:rsidR="00111E53" w:rsidRPr="00111E53" w:rsidRDefault="00111E53" w:rsidP="00111E5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justificar um índice de resiliência distinto de confiabilidade e estabilidade.</w:t>
      </w:r>
    </w:p>
    <w:p w14:paraId="1B75783C" w14:textId="77777777" w:rsidR="00111E53" w:rsidRPr="00111E53" w:rsidRDefault="00111E53" w:rsidP="00111E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Sustenta conceitualmente:</w:t>
      </w:r>
    </w:p>
    <w:p w14:paraId="04926021" w14:textId="77777777" w:rsidR="00111E53" w:rsidRPr="00111E53" w:rsidRDefault="00111E53" w:rsidP="00111E5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a ideia de limiar crítico (</w:t>
      </w:r>
      <w:proofErr w:type="spellStart"/>
      <w:r w:rsidRPr="00111E53">
        <w:rPr>
          <w:rFonts w:eastAsia="Times New Roman" w:cs="Times New Roman"/>
          <w:kern w:val="0"/>
          <w:lang w:eastAsia="pt-PT"/>
          <w14:ligatures w14:val="none"/>
        </w:rPr>
        <w:t>threshold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>) nas linhas de transmissão;</w:t>
      </w:r>
    </w:p>
    <w:p w14:paraId="7E7E8CA7" w14:textId="77777777" w:rsidR="00111E53" w:rsidRPr="00111E53" w:rsidRDefault="00111E53" w:rsidP="00111E5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a diferença entre </w:t>
      </w:r>
      <w:proofErr w:type="spellStart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>back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111E53">
        <w:rPr>
          <w:rFonts w:eastAsia="Times New Roman" w:cs="Times New Roman"/>
          <w:i/>
          <w:iCs/>
          <w:kern w:val="0"/>
          <w:lang w:eastAsia="pt-PT"/>
          <w14:ligatures w14:val="none"/>
        </w:rPr>
        <w:t>forward</w:t>
      </w:r>
      <w:proofErr w:type="spellEnd"/>
      <w:r w:rsidRPr="00111E53">
        <w:rPr>
          <w:rFonts w:eastAsia="Times New Roman" w:cs="Times New Roman"/>
          <w:kern w:val="0"/>
          <w:lang w:eastAsia="pt-PT"/>
          <w14:ligatures w14:val="none"/>
        </w:rPr>
        <w:t xml:space="preserve"> (mesmo que os termos sejam posteriores);</w:t>
      </w:r>
    </w:p>
    <w:p w14:paraId="57E6EB7C" w14:textId="77777777" w:rsidR="00111E53" w:rsidRPr="00111E53" w:rsidRDefault="00111E53" w:rsidP="00111E5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a inadequação de métricas puramente probabilísticas ou lineares.</w:t>
      </w:r>
    </w:p>
    <w:p w14:paraId="50E4E7F6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lastRenderedPageBreak/>
        <w:t>É, na prática, o pilar conceitual sobre o qual quase toda a literatura moderna de resiliência em sistemas de energia foi construída.</w:t>
      </w:r>
    </w:p>
    <w:p w14:paraId="388FBD0E" w14:textId="77777777" w:rsidR="00111E53" w:rsidRPr="00111E53" w:rsidRDefault="00111E53" w:rsidP="00111E53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Decisão</w:t>
      </w:r>
    </w:p>
    <w:p w14:paraId="7D549FAB" w14:textId="05B3AD06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GUARDAR — referência FUNDAMENTAL</w:t>
      </w:r>
    </w:p>
    <w:p w14:paraId="327E5E4E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Classificação recomendada no seu acervo:</w:t>
      </w:r>
    </w:p>
    <w:p w14:paraId="34F4A17D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Marco conceitual da resiliência sistêmica (base teórica obrigatória)</w:t>
      </w:r>
    </w:p>
    <w:p w14:paraId="27E4195F" w14:textId="77777777" w:rsidR="00111E53" w:rsidRPr="00111E53" w:rsidRDefault="00111E53" w:rsidP="00111E53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111E53">
        <w:rPr>
          <w:rFonts w:eastAsia="Times New Roman" w:cs="Times New Roman"/>
          <w:kern w:val="0"/>
          <w:lang w:eastAsia="pt-PT"/>
          <w14:ligatures w14:val="none"/>
        </w:rPr>
        <w:t>Este artigo não é opcional: ele legitima teoricamente o seu enquadramento e protege a tese de críticas conceituais sobre o uso do termo “resiliência”.</w:t>
      </w:r>
    </w:p>
    <w:p w14:paraId="6C3EA3CB" w14:textId="77777777" w:rsidR="00B36552" w:rsidRPr="00111E53" w:rsidRDefault="00B36552" w:rsidP="00111E53">
      <w:pPr>
        <w:pStyle w:val="NormalWeb"/>
        <w:rPr>
          <w:sz w:val="22"/>
          <w:szCs w:val="22"/>
        </w:rPr>
      </w:pPr>
    </w:p>
    <w:sectPr w:rsidR="00B36552" w:rsidRPr="00111E5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3BAF"/>
    <w:multiLevelType w:val="multilevel"/>
    <w:tmpl w:val="ADBC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D1B0E"/>
    <w:multiLevelType w:val="multilevel"/>
    <w:tmpl w:val="5294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84E22"/>
    <w:multiLevelType w:val="multilevel"/>
    <w:tmpl w:val="67E2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720916">
    <w:abstractNumId w:val="2"/>
  </w:num>
  <w:num w:numId="2" w16cid:durableId="1488132409">
    <w:abstractNumId w:val="0"/>
  </w:num>
  <w:num w:numId="3" w16cid:durableId="1035886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52"/>
    <w:rsid w:val="000131F2"/>
    <w:rsid w:val="00050A60"/>
    <w:rsid w:val="0007293B"/>
    <w:rsid w:val="0008424C"/>
    <w:rsid w:val="00096FFB"/>
    <w:rsid w:val="000C5A52"/>
    <w:rsid w:val="000C625D"/>
    <w:rsid w:val="000D45BD"/>
    <w:rsid w:val="00111E53"/>
    <w:rsid w:val="00172112"/>
    <w:rsid w:val="00172264"/>
    <w:rsid w:val="00196796"/>
    <w:rsid w:val="001F4610"/>
    <w:rsid w:val="0022366E"/>
    <w:rsid w:val="0024739D"/>
    <w:rsid w:val="00285BB1"/>
    <w:rsid w:val="002A63F1"/>
    <w:rsid w:val="002B4E40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0649C"/>
    <w:rsid w:val="008226B2"/>
    <w:rsid w:val="00863FDB"/>
    <w:rsid w:val="0087759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36552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5AE9C"/>
  <w15:chartTrackingRefBased/>
  <w15:docId w15:val="{32480000-0254-4C0C-96E9-311EAA4D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5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5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5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5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55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55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55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55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55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3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55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365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655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36552"/>
    <w:rPr>
      <w:b/>
      <w:bCs/>
    </w:rPr>
  </w:style>
  <w:style w:type="character" w:styleId="Emphasis">
    <w:name w:val="Emphasis"/>
    <w:basedOn w:val="DefaultParagraphFont"/>
    <w:uiPriority w:val="20"/>
    <w:qFormat/>
    <w:rsid w:val="00B36552"/>
    <w:rPr>
      <w:i/>
      <w:iCs/>
    </w:rPr>
  </w:style>
  <w:style w:type="character" w:customStyle="1" w:styleId="relative">
    <w:name w:val="relative"/>
    <w:basedOn w:val="DefaultParagraphFont"/>
    <w:rsid w:val="00111E53"/>
  </w:style>
  <w:style w:type="paragraph" w:customStyle="1" w:styleId="not-prose">
    <w:name w:val="not-prose"/>
    <w:basedOn w:val="Normal"/>
    <w:rsid w:val="00111E5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463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2025-12-31T16:40:00Z</dcterms:created>
  <dcterms:modified xsi:type="dcterms:W3CDTF">2026-01-04T01:24:00Z</dcterms:modified>
</cp:coreProperties>
</file>