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EFDDE" w14:textId="5CA03DA9" w:rsidR="0011148B" w:rsidRPr="00262668" w:rsidRDefault="00262668">
      <w:pPr>
        <w:rPr>
          <w:rFonts w:cs="Times New Roman"/>
        </w:rPr>
      </w:pPr>
      <w:r w:rsidRPr="00262668">
        <w:rPr>
          <w:rFonts w:cs="Times New Roman"/>
        </w:rPr>
        <w:t xml:space="preserve">2001 </w:t>
      </w:r>
      <w:proofErr w:type="spellStart"/>
      <w:r w:rsidRPr="00262668">
        <w:rPr>
          <w:rFonts w:cs="Times New Roman"/>
        </w:rPr>
        <w:t>Lightning-Caused</w:t>
      </w:r>
      <w:proofErr w:type="spellEnd"/>
      <w:r w:rsidRPr="00262668">
        <w:rPr>
          <w:rFonts w:cs="Times New Roman"/>
        </w:rPr>
        <w:t xml:space="preserve"> </w:t>
      </w:r>
      <w:proofErr w:type="spellStart"/>
      <w:r w:rsidRPr="00262668">
        <w:rPr>
          <w:rFonts w:cs="Times New Roman"/>
        </w:rPr>
        <w:t>Distribution</w:t>
      </w:r>
      <w:proofErr w:type="spellEnd"/>
      <w:r w:rsidRPr="00262668">
        <w:rPr>
          <w:rFonts w:cs="Times New Roman"/>
        </w:rPr>
        <w:t xml:space="preserve"> </w:t>
      </w:r>
      <w:proofErr w:type="spellStart"/>
      <w:r w:rsidRPr="00262668">
        <w:rPr>
          <w:rFonts w:cs="Times New Roman"/>
        </w:rPr>
        <w:t>Outages</w:t>
      </w:r>
      <w:proofErr w:type="spellEnd"/>
      <w:r w:rsidRPr="00262668">
        <w:rPr>
          <w:rFonts w:cs="Times New Roman"/>
        </w:rPr>
        <w:t>-IEEE</w:t>
      </w:r>
    </w:p>
    <w:p w14:paraId="39FAB0C1" w14:textId="77777777" w:rsidR="00262668" w:rsidRPr="00262668" w:rsidRDefault="00262668" w:rsidP="00262668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Referência analisada</w:t>
      </w:r>
      <w:r w:rsidRPr="00262668">
        <w:rPr>
          <w:rFonts w:eastAsia="Times New Roman" w:cs="Times New Roman"/>
          <w:kern w:val="0"/>
          <w:lang w:eastAsia="pt-PT"/>
          <w14:ligatures w14:val="none"/>
        </w:rPr>
        <w:br/>
        <w:t xml:space="preserve">CHISHOLM, W. A.; CRESS, S. L.; POLAK, J. </w:t>
      </w:r>
      <w:proofErr w:type="spellStart"/>
      <w:r w:rsidRPr="00262668">
        <w:rPr>
          <w:rFonts w:eastAsia="Times New Roman" w:cs="Times New Roman"/>
          <w:i/>
          <w:iCs/>
          <w:kern w:val="0"/>
          <w:lang w:eastAsia="pt-PT"/>
          <w14:ligatures w14:val="none"/>
        </w:rPr>
        <w:t>Lightning-Caused</w:t>
      </w:r>
      <w:proofErr w:type="spellEnd"/>
      <w:r w:rsidRPr="00262668">
        <w:rPr>
          <w:rFonts w:eastAsia="Times New Roman" w:cs="Times New Roman"/>
          <w:i/>
          <w:iCs/>
          <w:kern w:val="0"/>
          <w:lang w:eastAsia="pt-PT"/>
          <w14:ligatures w14:val="none"/>
        </w:rPr>
        <w:t xml:space="preserve"> </w:t>
      </w:r>
      <w:proofErr w:type="spellStart"/>
      <w:r w:rsidRPr="00262668">
        <w:rPr>
          <w:rFonts w:eastAsia="Times New Roman" w:cs="Times New Roman"/>
          <w:i/>
          <w:iCs/>
          <w:kern w:val="0"/>
          <w:lang w:eastAsia="pt-PT"/>
          <w14:ligatures w14:val="none"/>
        </w:rPr>
        <w:t>Distribution</w:t>
      </w:r>
      <w:proofErr w:type="spellEnd"/>
      <w:r w:rsidRPr="00262668">
        <w:rPr>
          <w:rFonts w:eastAsia="Times New Roman" w:cs="Times New Roman"/>
          <w:i/>
          <w:iCs/>
          <w:kern w:val="0"/>
          <w:lang w:eastAsia="pt-PT"/>
          <w14:ligatures w14:val="none"/>
        </w:rPr>
        <w:t xml:space="preserve"> </w:t>
      </w:r>
      <w:proofErr w:type="spellStart"/>
      <w:r w:rsidRPr="00262668">
        <w:rPr>
          <w:rFonts w:eastAsia="Times New Roman" w:cs="Times New Roman"/>
          <w:i/>
          <w:iCs/>
          <w:kern w:val="0"/>
          <w:lang w:eastAsia="pt-PT"/>
          <w14:ligatures w14:val="none"/>
        </w:rPr>
        <w:t>Outages</w:t>
      </w:r>
      <w:proofErr w:type="spellEnd"/>
      <w:r w:rsidRPr="00262668">
        <w:rPr>
          <w:rFonts w:eastAsia="Times New Roman" w:cs="Times New Roman"/>
          <w:kern w:val="0"/>
          <w:lang w:eastAsia="pt-PT"/>
          <w14:ligatures w14:val="none"/>
        </w:rPr>
        <w:t xml:space="preserve">. IEEE </w:t>
      </w:r>
      <w:proofErr w:type="spellStart"/>
      <w:r w:rsidRPr="00262668">
        <w:rPr>
          <w:rFonts w:eastAsia="Times New Roman" w:cs="Times New Roman"/>
          <w:kern w:val="0"/>
          <w:lang w:eastAsia="pt-PT"/>
          <w14:ligatures w14:val="none"/>
        </w:rPr>
        <w:t>Transactions</w:t>
      </w:r>
      <w:proofErr w:type="spellEnd"/>
      <w:r w:rsidRPr="00262668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262668">
        <w:rPr>
          <w:rFonts w:eastAsia="Times New Roman" w:cs="Times New Roman"/>
          <w:kern w:val="0"/>
          <w:lang w:eastAsia="pt-PT"/>
          <w14:ligatures w14:val="none"/>
        </w:rPr>
        <w:t>on</w:t>
      </w:r>
      <w:proofErr w:type="spellEnd"/>
      <w:r w:rsidRPr="00262668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262668">
        <w:rPr>
          <w:rFonts w:eastAsia="Times New Roman" w:cs="Times New Roman"/>
          <w:kern w:val="0"/>
          <w:lang w:eastAsia="pt-PT"/>
          <w14:ligatures w14:val="none"/>
        </w:rPr>
        <w:t>Power</w:t>
      </w:r>
      <w:proofErr w:type="spellEnd"/>
      <w:r w:rsidRPr="00262668">
        <w:rPr>
          <w:rFonts w:eastAsia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262668">
        <w:rPr>
          <w:rFonts w:eastAsia="Times New Roman" w:cs="Times New Roman"/>
          <w:kern w:val="0"/>
          <w:lang w:eastAsia="pt-PT"/>
          <w14:ligatures w14:val="none"/>
        </w:rPr>
        <w:t>Delivery</w:t>
      </w:r>
      <w:proofErr w:type="spellEnd"/>
      <w:r w:rsidRPr="00262668">
        <w:rPr>
          <w:rFonts w:eastAsia="Times New Roman" w:cs="Times New Roman"/>
          <w:kern w:val="0"/>
          <w:lang w:eastAsia="pt-PT"/>
          <w14:ligatures w14:val="none"/>
        </w:rPr>
        <w:t xml:space="preserve">, 2001. </w:t>
      </w:r>
    </w:p>
    <w:p w14:paraId="20FC0EA7" w14:textId="77777777" w:rsidR="00262668" w:rsidRPr="00262668" w:rsidRDefault="00262668" w:rsidP="00262668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Síntese técnica objetiva</w:t>
      </w:r>
    </w:p>
    <w:p w14:paraId="00CADD2F" w14:textId="77777777" w:rsidR="00262668" w:rsidRPr="00262668" w:rsidRDefault="00262668" w:rsidP="00262668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Este artigo é técnico-empírico, baseado em dados reais de operação, e trata de forma quantitativa a relação entre descargas atmosféricas e falhas em sistemas elétricos de distribuição, com implicações diretas para o projeto e a operação de redes.</w:t>
      </w:r>
    </w:p>
    <w:p w14:paraId="0194169D" w14:textId="77777777" w:rsidR="00262668" w:rsidRPr="00262668" w:rsidRDefault="00262668" w:rsidP="00262668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Principais contributos técnicos:</w:t>
      </w:r>
    </w:p>
    <w:p w14:paraId="293443E7" w14:textId="77777777" w:rsidR="00262668" w:rsidRPr="00262668" w:rsidRDefault="00262668" w:rsidP="0026266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Correlação estatística robusta entre relâmpagos e falhas</w:t>
      </w:r>
    </w:p>
    <w:p w14:paraId="551DC31A" w14:textId="77777777" w:rsidR="00262668" w:rsidRPr="00262668" w:rsidRDefault="00262668" w:rsidP="002626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 xml:space="preserve">Análise de ~40.000 registos de falhas e 4 anos de dados em duas estações de distribuição (Cedar </w:t>
      </w:r>
      <w:proofErr w:type="spellStart"/>
      <w:r w:rsidRPr="00262668">
        <w:rPr>
          <w:rFonts w:eastAsia="Times New Roman" w:cs="Times New Roman"/>
          <w:kern w:val="0"/>
          <w:lang w:eastAsia="pt-PT"/>
          <w14:ligatures w14:val="none"/>
        </w:rPr>
        <w:t>Mills</w:t>
      </w:r>
      <w:proofErr w:type="spellEnd"/>
      <w:r w:rsidRPr="00262668">
        <w:rPr>
          <w:rFonts w:eastAsia="Times New Roman" w:cs="Times New Roman"/>
          <w:kern w:val="0"/>
          <w:lang w:eastAsia="pt-PT"/>
          <w14:ligatures w14:val="none"/>
        </w:rPr>
        <w:t xml:space="preserve"> e </w:t>
      </w:r>
      <w:proofErr w:type="spellStart"/>
      <w:r w:rsidRPr="00262668">
        <w:rPr>
          <w:rFonts w:eastAsia="Times New Roman" w:cs="Times New Roman"/>
          <w:kern w:val="0"/>
          <w:lang w:eastAsia="pt-PT"/>
          <w14:ligatures w14:val="none"/>
        </w:rPr>
        <w:t>Drayton</w:t>
      </w:r>
      <w:proofErr w:type="spellEnd"/>
      <w:r w:rsidRPr="00262668">
        <w:rPr>
          <w:rFonts w:eastAsia="Times New Roman" w:cs="Times New Roman"/>
          <w:kern w:val="0"/>
          <w:lang w:eastAsia="pt-PT"/>
          <w14:ligatures w14:val="none"/>
        </w:rPr>
        <w:t>, Ontário).</w:t>
      </w:r>
    </w:p>
    <w:p w14:paraId="71D2A741" w14:textId="77777777" w:rsidR="00262668" w:rsidRPr="00262668" w:rsidRDefault="00262668" w:rsidP="002626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Taxas observadas de desligamentos por relâmpagos:</w:t>
      </w:r>
    </w:p>
    <w:p w14:paraId="396752DD" w14:textId="77777777" w:rsidR="00262668" w:rsidRPr="00262668" w:rsidRDefault="00262668" w:rsidP="00262668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 xml:space="preserve">55 falhas / 100 </w:t>
      </w:r>
      <w:proofErr w:type="spellStart"/>
      <w:r w:rsidRPr="00262668">
        <w:rPr>
          <w:rFonts w:eastAsia="Times New Roman" w:cs="Times New Roman"/>
          <w:kern w:val="0"/>
          <w:lang w:eastAsia="pt-PT"/>
          <w14:ligatures w14:val="none"/>
        </w:rPr>
        <w:t>km·ano</w:t>
      </w:r>
      <w:proofErr w:type="spellEnd"/>
      <w:r w:rsidRPr="00262668">
        <w:rPr>
          <w:rFonts w:eastAsia="Times New Roman" w:cs="Times New Roman"/>
          <w:kern w:val="0"/>
          <w:lang w:eastAsia="pt-PT"/>
          <w14:ligatures w14:val="none"/>
        </w:rPr>
        <w:t xml:space="preserve"> (</w:t>
      </w:r>
      <w:proofErr w:type="spellStart"/>
      <w:r w:rsidRPr="00262668">
        <w:rPr>
          <w:rFonts w:eastAsia="Times New Roman" w:cs="Times New Roman"/>
          <w:kern w:val="0"/>
          <w:lang w:eastAsia="pt-PT"/>
          <w14:ligatures w14:val="none"/>
        </w:rPr>
        <w:t>Drayton</w:t>
      </w:r>
      <w:proofErr w:type="spellEnd"/>
      <w:r w:rsidRPr="00262668">
        <w:rPr>
          <w:rFonts w:eastAsia="Times New Roman" w:cs="Times New Roman"/>
          <w:kern w:val="0"/>
          <w:lang w:eastAsia="pt-PT"/>
          <w14:ligatures w14:val="none"/>
        </w:rPr>
        <w:t xml:space="preserve"> DS);</w:t>
      </w:r>
    </w:p>
    <w:p w14:paraId="4BE2B1A4" w14:textId="77777777" w:rsidR="00262668" w:rsidRPr="00262668" w:rsidRDefault="00262668" w:rsidP="00262668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 xml:space="preserve">29 falhas / 100 </w:t>
      </w:r>
      <w:proofErr w:type="spellStart"/>
      <w:r w:rsidRPr="00262668">
        <w:rPr>
          <w:rFonts w:eastAsia="Times New Roman" w:cs="Times New Roman"/>
          <w:kern w:val="0"/>
          <w:lang w:eastAsia="pt-PT"/>
          <w14:ligatures w14:val="none"/>
        </w:rPr>
        <w:t>km·ano</w:t>
      </w:r>
      <w:proofErr w:type="spellEnd"/>
      <w:r w:rsidRPr="00262668">
        <w:rPr>
          <w:rFonts w:eastAsia="Times New Roman" w:cs="Times New Roman"/>
          <w:kern w:val="0"/>
          <w:lang w:eastAsia="pt-PT"/>
          <w14:ligatures w14:val="none"/>
        </w:rPr>
        <w:t xml:space="preserve"> (Cedar </w:t>
      </w:r>
      <w:proofErr w:type="spellStart"/>
      <w:r w:rsidRPr="00262668">
        <w:rPr>
          <w:rFonts w:eastAsia="Times New Roman" w:cs="Times New Roman"/>
          <w:kern w:val="0"/>
          <w:lang w:eastAsia="pt-PT"/>
          <w14:ligatures w14:val="none"/>
        </w:rPr>
        <w:t>Mills</w:t>
      </w:r>
      <w:proofErr w:type="spellEnd"/>
      <w:r w:rsidRPr="00262668">
        <w:rPr>
          <w:rFonts w:eastAsia="Times New Roman" w:cs="Times New Roman"/>
          <w:kern w:val="0"/>
          <w:lang w:eastAsia="pt-PT"/>
          <w14:ligatures w14:val="none"/>
        </w:rPr>
        <w:t xml:space="preserve"> DS).</w:t>
      </w:r>
    </w:p>
    <w:p w14:paraId="52C5B3BF" w14:textId="77777777" w:rsidR="00262668" w:rsidRPr="00262668" w:rsidRDefault="00262668" w:rsidP="002626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Aproximadamente 75% dos desligamentos correlacionados diretamente com atividade elétrica atmosférica (Fig. 2 e Fig. 3).</w:t>
      </w:r>
    </w:p>
    <w:p w14:paraId="058D980F" w14:textId="77777777" w:rsidR="00262668" w:rsidRPr="00262668" w:rsidRDefault="00262668" w:rsidP="0026266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Dependência temporal clara</w:t>
      </w:r>
    </w:p>
    <w:p w14:paraId="240F199E" w14:textId="77777777" w:rsidR="00262668" w:rsidRPr="00262668" w:rsidRDefault="00262668" w:rsidP="002626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Forte sazonalidade (pico no verão) e variação horária (fim de tarde/noite).</w:t>
      </w:r>
    </w:p>
    <w:p w14:paraId="725695A4" w14:textId="77777777" w:rsidR="00262668" w:rsidRPr="00262668" w:rsidRDefault="00262668" w:rsidP="002626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Evidência de que falhas “momentâneas” e “sustentadas” seguem padrões distintos, relevantes para índices de desempenho.</w:t>
      </w:r>
    </w:p>
    <w:p w14:paraId="7EB7AD36" w14:textId="77777777" w:rsidR="00262668" w:rsidRPr="00262668" w:rsidRDefault="00262668" w:rsidP="0026266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Identificação de mecanismos físicos dominantes</w:t>
      </w:r>
    </w:p>
    <w:p w14:paraId="677CDB8A" w14:textId="77777777" w:rsidR="00262668" w:rsidRPr="00262668" w:rsidRDefault="00262668" w:rsidP="002626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A maioria das falhas ocorre por sobretensões induzidas, não por impactos diretos.</w:t>
      </w:r>
    </w:p>
    <w:p w14:paraId="3BFF1EC4" w14:textId="77777777" w:rsidR="00262668" w:rsidRPr="00262668" w:rsidRDefault="00262668" w:rsidP="002626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Estruturas com pontos fracos de isolamento (postes estaiados, ligações à terra deficientes) concentram falhas (Fig. 4).</w:t>
      </w:r>
    </w:p>
    <w:p w14:paraId="454C12AE" w14:textId="77777777" w:rsidR="00262668" w:rsidRPr="00262668" w:rsidRDefault="00262668" w:rsidP="0026266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Influência crítica da resistividade do solo</w:t>
      </w:r>
    </w:p>
    <w:p w14:paraId="12757003" w14:textId="77777777" w:rsidR="00262668" w:rsidRPr="00262668" w:rsidRDefault="00262668" w:rsidP="002626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 xml:space="preserve">Em solos de alta resistividade (&gt;1000 </w:t>
      </w:r>
      <w:proofErr w:type="spellStart"/>
      <w:r w:rsidRPr="00262668">
        <w:rPr>
          <w:rFonts w:eastAsia="Times New Roman" w:cs="Times New Roman"/>
          <w:kern w:val="0"/>
          <w:lang w:eastAsia="pt-PT"/>
          <w14:ligatures w14:val="none"/>
        </w:rPr>
        <w:t>Ω·m</w:t>
      </w:r>
      <w:proofErr w:type="spellEnd"/>
      <w:r w:rsidRPr="00262668">
        <w:rPr>
          <w:rFonts w:eastAsia="Times New Roman" w:cs="Times New Roman"/>
          <w:kern w:val="0"/>
          <w:lang w:eastAsia="pt-PT"/>
          <w14:ligatures w14:val="none"/>
        </w:rPr>
        <w:t>), os níveis de sobretensão induzida são significativamente maiores.</w:t>
      </w:r>
    </w:p>
    <w:p w14:paraId="3E56CB8D" w14:textId="77777777" w:rsidR="00262668" w:rsidRPr="00262668" w:rsidRDefault="00262668" w:rsidP="002626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Demonstra que densidade de relâmpagos baixa não implica baixa vulnerabilidade.</w:t>
      </w:r>
    </w:p>
    <w:p w14:paraId="22CBBD5C" w14:textId="77777777" w:rsidR="00262668" w:rsidRPr="00262668" w:rsidRDefault="00262668" w:rsidP="0026266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Diretrizes técnicas quantitativas</w:t>
      </w:r>
    </w:p>
    <w:p w14:paraId="7D2C43CA" w14:textId="77777777" w:rsidR="00262668" w:rsidRPr="00262668" w:rsidRDefault="00262668" w:rsidP="002626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Recomendação de níveis mínimos de isolamento:</w:t>
      </w:r>
    </w:p>
    <w:p w14:paraId="2631A6A1" w14:textId="77777777" w:rsidR="00262668" w:rsidRPr="00262668" w:rsidRDefault="00262668" w:rsidP="00262668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≥200 kV BIL em condições normais;</w:t>
      </w:r>
    </w:p>
    <w:p w14:paraId="59D226E8" w14:textId="77777777" w:rsidR="00262668" w:rsidRPr="00262668" w:rsidRDefault="00262668" w:rsidP="00262668">
      <w:pPr>
        <w:numPr>
          <w:ilvl w:val="2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≥400–420 kV BIL em solos de alta resistividade.</w:t>
      </w:r>
    </w:p>
    <w:p w14:paraId="6E2B89DD" w14:textId="77777777" w:rsidR="00262668" w:rsidRPr="00262668" w:rsidRDefault="00262668" w:rsidP="002626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 xml:space="preserve">Avaliação comparativa de </w:t>
      </w:r>
      <w:proofErr w:type="spellStart"/>
      <w:r w:rsidRPr="00262668">
        <w:rPr>
          <w:rFonts w:eastAsia="Times New Roman" w:cs="Times New Roman"/>
          <w:kern w:val="0"/>
          <w:lang w:eastAsia="pt-PT"/>
          <w14:ligatures w14:val="none"/>
        </w:rPr>
        <w:t>eletrodos</w:t>
      </w:r>
      <w:proofErr w:type="spellEnd"/>
      <w:r w:rsidRPr="00262668">
        <w:rPr>
          <w:rFonts w:eastAsia="Times New Roman" w:cs="Times New Roman"/>
          <w:kern w:val="0"/>
          <w:lang w:eastAsia="pt-PT"/>
          <w14:ligatures w14:val="none"/>
        </w:rPr>
        <w:t xml:space="preserve"> de aterramento (haste, “</w:t>
      </w:r>
      <w:proofErr w:type="spellStart"/>
      <w:r w:rsidRPr="00262668">
        <w:rPr>
          <w:rFonts w:eastAsia="Times New Roman" w:cs="Times New Roman"/>
          <w:kern w:val="0"/>
          <w:lang w:eastAsia="pt-PT"/>
          <w14:ligatures w14:val="none"/>
        </w:rPr>
        <w:t>butt-wrap</w:t>
      </w:r>
      <w:proofErr w:type="spellEnd"/>
      <w:r w:rsidRPr="00262668">
        <w:rPr>
          <w:rFonts w:eastAsia="Times New Roman" w:cs="Times New Roman"/>
          <w:kern w:val="0"/>
          <w:lang w:eastAsia="pt-PT"/>
          <w14:ligatures w14:val="none"/>
        </w:rPr>
        <w:t>”, “</w:t>
      </w:r>
      <w:proofErr w:type="spellStart"/>
      <w:r w:rsidRPr="00262668">
        <w:rPr>
          <w:rFonts w:eastAsia="Times New Roman" w:cs="Times New Roman"/>
          <w:kern w:val="0"/>
          <w:lang w:eastAsia="pt-PT"/>
          <w14:ligatures w14:val="none"/>
        </w:rPr>
        <w:t>crowfoot</w:t>
      </w:r>
      <w:proofErr w:type="spellEnd"/>
      <w:r w:rsidRPr="00262668">
        <w:rPr>
          <w:rFonts w:eastAsia="Times New Roman" w:cs="Times New Roman"/>
          <w:kern w:val="0"/>
          <w:lang w:eastAsia="pt-PT"/>
          <w14:ligatures w14:val="none"/>
        </w:rPr>
        <w:t>”) com base em modelos de solo em duas camadas (Fig. 5 e Fig. 6).</w:t>
      </w:r>
    </w:p>
    <w:p w14:paraId="2E128AE2" w14:textId="47571504" w:rsidR="00262668" w:rsidRPr="00262668" w:rsidRDefault="00262668" w:rsidP="00262668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Relevância direta para sua tese (resiliência de linhas de transmissão)</w:t>
      </w:r>
    </w:p>
    <w:p w14:paraId="1866D094" w14:textId="77777777" w:rsidR="00262668" w:rsidRPr="00262668" w:rsidRDefault="00262668" w:rsidP="00262668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Embora o foco seja distribuição, este artigo é altamente relevante para o seu trabalho:</w:t>
      </w:r>
    </w:p>
    <w:p w14:paraId="3B5C7464" w14:textId="77777777" w:rsidR="00262668" w:rsidRPr="00262668" w:rsidRDefault="00262668" w:rsidP="002626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Fornece:</w:t>
      </w:r>
    </w:p>
    <w:p w14:paraId="64E9E3C3" w14:textId="77777777" w:rsidR="00262668" w:rsidRPr="00262668" w:rsidRDefault="00262668" w:rsidP="0026266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dados reais de falha induzida por eventos climáticos extremos (relâmpagos);</w:t>
      </w:r>
    </w:p>
    <w:p w14:paraId="7BD39BF5" w14:textId="77777777" w:rsidR="00262668" w:rsidRPr="00262668" w:rsidRDefault="00262668" w:rsidP="0026266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mecanismos físicos quantificáveis que podem ser traduzidos em parâmetros de vulnerabilidade;</w:t>
      </w:r>
    </w:p>
    <w:p w14:paraId="00130A55" w14:textId="77777777" w:rsidR="00262668" w:rsidRPr="00262668" w:rsidRDefault="00262668" w:rsidP="0026266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evidência de que eventos de baixa frequência e alto impacto degradam significativamente a disponibilidade da rede.</w:t>
      </w:r>
    </w:p>
    <w:p w14:paraId="758009F6" w14:textId="77777777" w:rsidR="00262668" w:rsidRPr="00262668" w:rsidRDefault="00262668" w:rsidP="002626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Sustenta tecnicamente:</w:t>
      </w:r>
    </w:p>
    <w:p w14:paraId="4C0B0D37" w14:textId="77777777" w:rsidR="00262668" w:rsidRPr="00262668" w:rsidRDefault="00262668" w:rsidP="0026266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a introdução de fatores climáticos exógenos em modelos de resiliência;</w:t>
      </w:r>
    </w:p>
    <w:p w14:paraId="5F06DF5B" w14:textId="77777777" w:rsidR="00262668" w:rsidRPr="00262668" w:rsidRDefault="00262668" w:rsidP="0026266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lastRenderedPageBreak/>
        <w:t>a necessidade de índices além da confiabilidade clássica (SAIFI/SAIDI);</w:t>
      </w:r>
    </w:p>
    <w:p w14:paraId="25B380E0" w14:textId="77777777" w:rsidR="00262668" w:rsidRPr="00262668" w:rsidRDefault="00262668" w:rsidP="0026266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a associação entre condições ambientais locais e probabilidade de falha estrutural.</w:t>
      </w:r>
    </w:p>
    <w:p w14:paraId="7263CA8B" w14:textId="77777777" w:rsidR="00262668" w:rsidRPr="00262668" w:rsidRDefault="00262668" w:rsidP="002626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O conceito de “</w:t>
      </w:r>
      <w:proofErr w:type="spellStart"/>
      <w:r w:rsidRPr="00262668">
        <w:rPr>
          <w:rFonts w:eastAsia="Times New Roman" w:cs="Times New Roman"/>
          <w:kern w:val="0"/>
          <w:lang w:eastAsia="pt-PT"/>
          <w14:ligatures w14:val="none"/>
        </w:rPr>
        <w:t>weak</w:t>
      </w:r>
      <w:proofErr w:type="spellEnd"/>
      <w:r w:rsidRPr="00262668">
        <w:rPr>
          <w:rFonts w:eastAsia="Times New Roman" w:cs="Times New Roman"/>
          <w:kern w:val="0"/>
          <w:lang w:eastAsia="pt-PT"/>
          <w14:ligatures w14:val="none"/>
        </w:rPr>
        <w:t xml:space="preserve">-link </w:t>
      </w:r>
      <w:proofErr w:type="spellStart"/>
      <w:r w:rsidRPr="00262668">
        <w:rPr>
          <w:rFonts w:eastAsia="Times New Roman" w:cs="Times New Roman"/>
          <w:kern w:val="0"/>
          <w:lang w:eastAsia="pt-PT"/>
          <w14:ligatures w14:val="none"/>
        </w:rPr>
        <w:t>structures</w:t>
      </w:r>
      <w:proofErr w:type="spellEnd"/>
      <w:r w:rsidRPr="00262668">
        <w:rPr>
          <w:rFonts w:eastAsia="Times New Roman" w:cs="Times New Roman"/>
          <w:kern w:val="0"/>
          <w:lang w:eastAsia="pt-PT"/>
          <w14:ligatures w14:val="none"/>
        </w:rPr>
        <w:t>” é diretamente transferível para:</w:t>
      </w:r>
    </w:p>
    <w:p w14:paraId="795E2709" w14:textId="77777777" w:rsidR="00262668" w:rsidRPr="00262668" w:rsidRDefault="00262668" w:rsidP="0026266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torres, isoladores, cadeias de ancoragem e sistemas de aterramento em linhas de transmissão.</w:t>
      </w:r>
    </w:p>
    <w:p w14:paraId="7645F315" w14:textId="77777777" w:rsidR="00262668" w:rsidRPr="00262668" w:rsidRDefault="00262668" w:rsidP="00262668">
      <w:pPr>
        <w:spacing w:before="100" w:beforeAutospacing="1" w:after="100" w:afterAutospacing="1"/>
        <w:outlineLvl w:val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Decisão</w:t>
      </w:r>
    </w:p>
    <w:p w14:paraId="748B5E5E" w14:textId="76A3CA56" w:rsidR="00262668" w:rsidRPr="00262668" w:rsidRDefault="00262668" w:rsidP="00262668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GUARDAR — referência técnica essencial</w:t>
      </w:r>
    </w:p>
    <w:p w14:paraId="21B0322A" w14:textId="77777777" w:rsidR="00262668" w:rsidRPr="00262668" w:rsidRDefault="00262668" w:rsidP="00262668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Classificação recomendada:</w:t>
      </w:r>
    </w:p>
    <w:p w14:paraId="7F812C07" w14:textId="77777777" w:rsidR="00262668" w:rsidRPr="00262668" w:rsidRDefault="00262668" w:rsidP="00262668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Evidência empírica de impacto climático (relâmpagos) em falhas de redes elétricas</w:t>
      </w:r>
    </w:p>
    <w:p w14:paraId="19830048" w14:textId="4C5B591D" w:rsidR="00262668" w:rsidRPr="00262668" w:rsidRDefault="00262668" w:rsidP="00262668">
      <w:pPr>
        <w:spacing w:before="100" w:beforeAutospacing="1" w:after="100" w:afterAutospacing="1"/>
        <w:rPr>
          <w:rFonts w:eastAsia="Times New Roman" w:cs="Times New Roman"/>
          <w:kern w:val="0"/>
          <w:lang w:eastAsia="pt-PT"/>
          <w14:ligatures w14:val="none"/>
        </w:rPr>
      </w:pPr>
      <w:r w:rsidRPr="00262668">
        <w:rPr>
          <w:rFonts w:eastAsia="Times New Roman" w:cs="Times New Roman"/>
          <w:kern w:val="0"/>
          <w:lang w:eastAsia="pt-PT"/>
          <w14:ligatures w14:val="none"/>
        </w:rPr>
        <w:t>Este artigo fortalece de forma quantitativa e operacional a base da tese, conectando clima → falha → desempenho do sistema.</w:t>
      </w:r>
    </w:p>
    <w:p w14:paraId="2CBBA355" w14:textId="77777777" w:rsidR="00262668" w:rsidRPr="00262668" w:rsidRDefault="00262668">
      <w:pPr>
        <w:rPr>
          <w:rFonts w:cs="Times New Roman"/>
        </w:rPr>
      </w:pPr>
    </w:p>
    <w:sectPr w:rsidR="00262668" w:rsidRPr="0026266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3510"/>
    <w:multiLevelType w:val="multilevel"/>
    <w:tmpl w:val="B01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B179C"/>
    <w:multiLevelType w:val="multilevel"/>
    <w:tmpl w:val="F5C4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B61C6"/>
    <w:multiLevelType w:val="multilevel"/>
    <w:tmpl w:val="88C0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6152208">
    <w:abstractNumId w:val="1"/>
  </w:num>
  <w:num w:numId="2" w16cid:durableId="2013100630">
    <w:abstractNumId w:val="2"/>
  </w:num>
  <w:num w:numId="3" w16cid:durableId="1042251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48B"/>
    <w:rsid w:val="000131F2"/>
    <w:rsid w:val="00050A60"/>
    <w:rsid w:val="0007293B"/>
    <w:rsid w:val="0008424C"/>
    <w:rsid w:val="00096FFB"/>
    <w:rsid w:val="000C5A52"/>
    <w:rsid w:val="000C625D"/>
    <w:rsid w:val="000D45BD"/>
    <w:rsid w:val="0011148B"/>
    <w:rsid w:val="00172112"/>
    <w:rsid w:val="00172264"/>
    <w:rsid w:val="00196796"/>
    <w:rsid w:val="001D1306"/>
    <w:rsid w:val="001F4610"/>
    <w:rsid w:val="0022366E"/>
    <w:rsid w:val="0024739D"/>
    <w:rsid w:val="00262668"/>
    <w:rsid w:val="00285BB1"/>
    <w:rsid w:val="002A63F1"/>
    <w:rsid w:val="002D7795"/>
    <w:rsid w:val="002F61AF"/>
    <w:rsid w:val="003257C6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0008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DABF0"/>
  <w15:chartTrackingRefBased/>
  <w15:docId w15:val="{8553BCD9-7680-4FF0-A15E-9CEB86C7C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4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48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48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48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48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48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48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48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48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48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11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48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114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148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1148B"/>
    <w:rPr>
      <w:b/>
      <w:bCs/>
    </w:rPr>
  </w:style>
  <w:style w:type="character" w:styleId="Emphasis">
    <w:name w:val="Emphasis"/>
    <w:basedOn w:val="DefaultParagraphFont"/>
    <w:uiPriority w:val="20"/>
    <w:qFormat/>
    <w:rsid w:val="00262668"/>
    <w:rPr>
      <w:i/>
      <w:iCs/>
    </w:rPr>
  </w:style>
  <w:style w:type="character" w:customStyle="1" w:styleId="relative">
    <w:name w:val="relative"/>
    <w:basedOn w:val="DefaultParagraphFont"/>
    <w:rsid w:val="00262668"/>
  </w:style>
  <w:style w:type="paragraph" w:customStyle="1" w:styleId="not-prose">
    <w:name w:val="not-prose"/>
    <w:basedOn w:val="Normal"/>
    <w:rsid w:val="0026266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481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5</cp:revision>
  <dcterms:created xsi:type="dcterms:W3CDTF">2025-12-31T16:44:00Z</dcterms:created>
  <dcterms:modified xsi:type="dcterms:W3CDTF">2026-01-04T01:24:00Z</dcterms:modified>
</cp:coreProperties>
</file>