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9D60F" w14:textId="5AF93AF7" w:rsidR="00C509A7" w:rsidRPr="0044478A" w:rsidRDefault="0044478A">
      <w:pPr>
        <w:rPr>
          <w:rFonts w:cs="Times New Roman"/>
          <w:lang w:val="en-US"/>
        </w:rPr>
      </w:pPr>
      <w:r w:rsidRPr="0044478A">
        <w:rPr>
          <w:rFonts w:cs="Times New Roman"/>
          <w:lang w:val="en-US"/>
        </w:rPr>
        <w:t>2002 Bouncing Forward-Resilience in the Aftermath of September 11-WILEY</w:t>
      </w:r>
    </w:p>
    <w:p w14:paraId="26A59798" w14:textId="77777777" w:rsidR="0044478A" w:rsidRPr="0044478A" w:rsidRDefault="0044478A" w:rsidP="0044478A">
      <w:pPr>
        <w:spacing w:before="100" w:beforeAutospacing="1" w:after="100" w:afterAutospacing="1"/>
        <w:rPr>
          <w:rFonts w:eastAsia="Times New Roman" w:cs="Times New Roman"/>
          <w:kern w:val="0"/>
          <w:lang w:val="en-US" w:eastAsia="pt-PT"/>
          <w14:ligatures w14:val="none"/>
        </w:rPr>
      </w:pPr>
      <w:proofErr w:type="spellStart"/>
      <w:r w:rsidRPr="0044478A">
        <w:rPr>
          <w:rFonts w:eastAsia="Times New Roman" w:cs="Times New Roman"/>
          <w:kern w:val="0"/>
          <w:lang w:val="en-US" w:eastAsia="pt-PT"/>
          <w14:ligatures w14:val="none"/>
        </w:rPr>
        <w:t>Referência</w:t>
      </w:r>
      <w:proofErr w:type="spellEnd"/>
      <w:r w:rsidRPr="0044478A">
        <w:rPr>
          <w:rFonts w:eastAsia="Times New Roman" w:cs="Times New Roman"/>
          <w:kern w:val="0"/>
          <w:lang w:val="en-US" w:eastAsia="pt-PT"/>
          <w14:ligatures w14:val="none"/>
        </w:rPr>
        <w:t xml:space="preserve"> </w:t>
      </w:r>
      <w:proofErr w:type="spellStart"/>
      <w:r w:rsidRPr="0044478A">
        <w:rPr>
          <w:rFonts w:eastAsia="Times New Roman" w:cs="Times New Roman"/>
          <w:kern w:val="0"/>
          <w:lang w:val="en-US" w:eastAsia="pt-PT"/>
          <w14:ligatures w14:val="none"/>
        </w:rPr>
        <w:t>analisada</w:t>
      </w:r>
      <w:proofErr w:type="spellEnd"/>
      <w:r w:rsidRPr="0044478A">
        <w:rPr>
          <w:rFonts w:eastAsia="Times New Roman" w:cs="Times New Roman"/>
          <w:kern w:val="0"/>
          <w:lang w:val="en-US" w:eastAsia="pt-PT"/>
          <w14:ligatures w14:val="none"/>
        </w:rPr>
        <w:br/>
        <w:t xml:space="preserve">WALSH, F. </w:t>
      </w:r>
      <w:r w:rsidRPr="0044478A">
        <w:rPr>
          <w:rFonts w:eastAsia="Times New Roman" w:cs="Times New Roman"/>
          <w:i/>
          <w:iCs/>
          <w:kern w:val="0"/>
          <w:lang w:val="en-US" w:eastAsia="pt-PT"/>
          <w14:ligatures w14:val="none"/>
        </w:rPr>
        <w:t>Bouncing Forward: Resilience in the Aftermath of September 11</w:t>
      </w:r>
      <w:r w:rsidRPr="0044478A">
        <w:rPr>
          <w:rFonts w:eastAsia="Times New Roman" w:cs="Times New Roman"/>
          <w:kern w:val="0"/>
          <w:lang w:val="en-US" w:eastAsia="pt-PT"/>
          <w14:ligatures w14:val="none"/>
        </w:rPr>
        <w:t xml:space="preserve">. </w:t>
      </w:r>
      <w:r w:rsidRPr="0044478A">
        <w:rPr>
          <w:rFonts w:eastAsia="Times New Roman" w:cs="Times New Roman"/>
          <w:i/>
          <w:iCs/>
          <w:kern w:val="0"/>
          <w:lang w:val="en-US" w:eastAsia="pt-PT"/>
          <w14:ligatures w14:val="none"/>
        </w:rPr>
        <w:t>Family Process</w:t>
      </w:r>
      <w:r w:rsidRPr="0044478A">
        <w:rPr>
          <w:rFonts w:eastAsia="Times New Roman" w:cs="Times New Roman"/>
          <w:kern w:val="0"/>
          <w:lang w:val="en-US" w:eastAsia="pt-PT"/>
          <w14:ligatures w14:val="none"/>
        </w:rPr>
        <w:t xml:space="preserve">, vol. 41, pp. 34–36, 2002. </w:t>
      </w:r>
    </w:p>
    <w:p w14:paraId="0E31F516" w14:textId="77777777" w:rsidR="0044478A" w:rsidRPr="0044478A" w:rsidRDefault="0044478A" w:rsidP="0044478A">
      <w:pPr>
        <w:spacing w:before="100" w:beforeAutospacing="1" w:after="100" w:afterAutospacing="1"/>
        <w:outlineLvl w:val="1"/>
        <w:rPr>
          <w:rFonts w:eastAsia="Times New Roman" w:cs="Times New Roman"/>
          <w:kern w:val="0"/>
          <w:lang w:eastAsia="pt-PT"/>
          <w14:ligatures w14:val="none"/>
        </w:rPr>
      </w:pPr>
      <w:r w:rsidRPr="0044478A">
        <w:rPr>
          <w:rFonts w:eastAsia="Times New Roman" w:cs="Times New Roman"/>
          <w:kern w:val="0"/>
          <w:lang w:eastAsia="pt-PT"/>
          <w14:ligatures w14:val="none"/>
        </w:rPr>
        <w:t>Síntese técnica objetiva</w:t>
      </w:r>
    </w:p>
    <w:p w14:paraId="2D93F827" w14:textId="77777777" w:rsidR="0044478A" w:rsidRPr="0044478A" w:rsidRDefault="0044478A" w:rsidP="0044478A">
      <w:p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44478A">
        <w:rPr>
          <w:rFonts w:eastAsia="Times New Roman" w:cs="Times New Roman"/>
          <w:kern w:val="0"/>
          <w:lang w:eastAsia="pt-PT"/>
          <w14:ligatures w14:val="none"/>
        </w:rPr>
        <w:t>Este artigo é conceitual e interpretativo, não técnico, mas introduz uma mudança semântica crucial no uso moderno do termo resiliência.</w:t>
      </w:r>
    </w:p>
    <w:p w14:paraId="20A3C9FE" w14:textId="77777777" w:rsidR="0044478A" w:rsidRPr="0044478A" w:rsidRDefault="0044478A" w:rsidP="0044478A">
      <w:p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44478A">
        <w:rPr>
          <w:rFonts w:eastAsia="Times New Roman" w:cs="Times New Roman"/>
          <w:kern w:val="0"/>
          <w:lang w:eastAsia="pt-PT"/>
          <w14:ligatures w14:val="none"/>
        </w:rPr>
        <w:t>Principais contributos:</w:t>
      </w:r>
    </w:p>
    <w:p w14:paraId="4688C873" w14:textId="77777777" w:rsidR="0044478A" w:rsidRPr="0044478A" w:rsidRDefault="0044478A" w:rsidP="0044478A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44478A">
        <w:rPr>
          <w:rFonts w:eastAsia="Times New Roman" w:cs="Times New Roman"/>
          <w:kern w:val="0"/>
          <w:lang w:eastAsia="pt-PT"/>
          <w14:ligatures w14:val="none"/>
        </w:rPr>
        <w:t>Introdução explícita do conceito “</w:t>
      </w:r>
      <w:proofErr w:type="spellStart"/>
      <w:r w:rsidRPr="0044478A">
        <w:rPr>
          <w:rFonts w:eastAsia="Times New Roman" w:cs="Times New Roman"/>
          <w:kern w:val="0"/>
          <w:lang w:eastAsia="pt-PT"/>
          <w14:ligatures w14:val="none"/>
        </w:rPr>
        <w:t>bouncing</w:t>
      </w:r>
      <w:proofErr w:type="spellEnd"/>
      <w:r w:rsidRPr="0044478A">
        <w:rPr>
          <w:rFonts w:eastAsia="Times New Roman" w:cs="Times New Roman"/>
          <w:kern w:val="0"/>
          <w:lang w:eastAsia="pt-PT"/>
          <w14:ligatures w14:val="none"/>
        </w:rPr>
        <w:t xml:space="preserve"> </w:t>
      </w:r>
      <w:proofErr w:type="spellStart"/>
      <w:r w:rsidRPr="0044478A">
        <w:rPr>
          <w:rFonts w:eastAsia="Times New Roman" w:cs="Times New Roman"/>
          <w:kern w:val="0"/>
          <w:lang w:eastAsia="pt-PT"/>
          <w14:ligatures w14:val="none"/>
        </w:rPr>
        <w:t>forward</w:t>
      </w:r>
      <w:proofErr w:type="spellEnd"/>
      <w:r w:rsidRPr="0044478A">
        <w:rPr>
          <w:rFonts w:eastAsia="Times New Roman" w:cs="Times New Roman"/>
          <w:kern w:val="0"/>
          <w:lang w:eastAsia="pt-PT"/>
          <w14:ligatures w14:val="none"/>
        </w:rPr>
        <w:t>”</w:t>
      </w:r>
    </w:p>
    <w:p w14:paraId="087EBFF1" w14:textId="77777777" w:rsidR="0044478A" w:rsidRPr="0044478A" w:rsidRDefault="0044478A" w:rsidP="0044478A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44478A">
        <w:rPr>
          <w:rFonts w:eastAsia="Times New Roman" w:cs="Times New Roman"/>
          <w:kern w:val="0"/>
          <w:lang w:eastAsia="pt-PT"/>
          <w14:ligatures w14:val="none"/>
        </w:rPr>
        <w:t>Resiliência não é retornar ao estado pré-crise (</w:t>
      </w:r>
      <w:proofErr w:type="spellStart"/>
      <w:r w:rsidRPr="0044478A">
        <w:rPr>
          <w:rFonts w:eastAsia="Times New Roman" w:cs="Times New Roman"/>
          <w:i/>
          <w:iCs/>
          <w:kern w:val="0"/>
          <w:lang w:eastAsia="pt-PT"/>
          <w14:ligatures w14:val="none"/>
        </w:rPr>
        <w:t>bounce</w:t>
      </w:r>
      <w:proofErr w:type="spellEnd"/>
      <w:r w:rsidRPr="0044478A">
        <w:rPr>
          <w:rFonts w:eastAsia="Times New Roman" w:cs="Times New Roman"/>
          <w:i/>
          <w:iCs/>
          <w:kern w:val="0"/>
          <w:lang w:eastAsia="pt-PT"/>
          <w14:ligatures w14:val="none"/>
        </w:rPr>
        <w:t xml:space="preserve"> </w:t>
      </w:r>
      <w:proofErr w:type="spellStart"/>
      <w:r w:rsidRPr="0044478A">
        <w:rPr>
          <w:rFonts w:eastAsia="Times New Roman" w:cs="Times New Roman"/>
          <w:i/>
          <w:iCs/>
          <w:kern w:val="0"/>
          <w:lang w:eastAsia="pt-PT"/>
          <w14:ligatures w14:val="none"/>
        </w:rPr>
        <w:t>back</w:t>
      </w:r>
      <w:proofErr w:type="spellEnd"/>
      <w:r w:rsidRPr="0044478A">
        <w:rPr>
          <w:rFonts w:eastAsia="Times New Roman" w:cs="Times New Roman"/>
          <w:kern w:val="0"/>
          <w:lang w:eastAsia="pt-PT"/>
          <w14:ligatures w14:val="none"/>
        </w:rPr>
        <w:t>), mas reconfigurar-se para operar em um novo estado normal após choques severos.</w:t>
      </w:r>
    </w:p>
    <w:p w14:paraId="01964411" w14:textId="77777777" w:rsidR="0044478A" w:rsidRPr="0044478A" w:rsidRDefault="0044478A" w:rsidP="0044478A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44478A">
        <w:rPr>
          <w:rFonts w:eastAsia="Times New Roman" w:cs="Times New Roman"/>
          <w:kern w:val="0"/>
          <w:lang w:eastAsia="pt-PT"/>
          <w14:ligatures w14:val="none"/>
        </w:rPr>
        <w:t>Afirma claramente que eventos extremos alteram estruturalmente o sistema, tornando impossível o retorno ao regime anterior.</w:t>
      </w:r>
    </w:p>
    <w:p w14:paraId="7CBDE689" w14:textId="77777777" w:rsidR="0044478A" w:rsidRPr="0044478A" w:rsidRDefault="0044478A" w:rsidP="0044478A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44478A">
        <w:rPr>
          <w:rFonts w:eastAsia="Times New Roman" w:cs="Times New Roman"/>
          <w:kern w:val="0"/>
          <w:lang w:eastAsia="pt-PT"/>
          <w14:ligatures w14:val="none"/>
        </w:rPr>
        <w:t>Crítica à visão de invulnerabilidade</w:t>
      </w:r>
    </w:p>
    <w:p w14:paraId="1C4215FA" w14:textId="77777777" w:rsidR="0044478A" w:rsidRPr="0044478A" w:rsidRDefault="0044478A" w:rsidP="0044478A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44478A">
        <w:rPr>
          <w:rFonts w:eastAsia="Times New Roman" w:cs="Times New Roman"/>
          <w:kern w:val="0"/>
          <w:lang w:eastAsia="pt-PT"/>
          <w14:ligatures w14:val="none"/>
        </w:rPr>
        <w:t>Resiliência ≠ robustez absoluta ou ausência de falhas.</w:t>
      </w:r>
    </w:p>
    <w:p w14:paraId="2E51CEBF" w14:textId="77777777" w:rsidR="0044478A" w:rsidRPr="0044478A" w:rsidRDefault="0044478A" w:rsidP="0044478A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44478A">
        <w:rPr>
          <w:rFonts w:eastAsia="Times New Roman" w:cs="Times New Roman"/>
          <w:kern w:val="0"/>
          <w:lang w:eastAsia="pt-PT"/>
          <w14:ligatures w14:val="none"/>
        </w:rPr>
        <w:t>O processo resiliente envolve perda, sofrimento, adaptação e aprendizagem, rejeitando soluções imediatistas.</w:t>
      </w:r>
    </w:p>
    <w:p w14:paraId="13752E56" w14:textId="77777777" w:rsidR="0044478A" w:rsidRPr="0044478A" w:rsidRDefault="0044478A" w:rsidP="0044478A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44478A">
        <w:rPr>
          <w:rFonts w:eastAsia="Times New Roman" w:cs="Times New Roman"/>
          <w:kern w:val="0"/>
          <w:lang w:eastAsia="pt-PT"/>
          <w14:ligatures w14:val="none"/>
        </w:rPr>
        <w:t>Resiliência como processo sistêmico-relacional</w:t>
      </w:r>
    </w:p>
    <w:p w14:paraId="117F4E85" w14:textId="77777777" w:rsidR="0044478A" w:rsidRPr="0044478A" w:rsidRDefault="0044478A" w:rsidP="0044478A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44478A">
        <w:rPr>
          <w:rFonts w:eastAsia="Times New Roman" w:cs="Times New Roman"/>
          <w:kern w:val="0"/>
          <w:lang w:eastAsia="pt-PT"/>
          <w14:ligatures w14:val="none"/>
        </w:rPr>
        <w:t>Embora no contexto social/familiar, o artigo reforça que a resiliência emerge de:</w:t>
      </w:r>
    </w:p>
    <w:p w14:paraId="5BF3FD69" w14:textId="77777777" w:rsidR="0044478A" w:rsidRPr="0044478A" w:rsidRDefault="0044478A" w:rsidP="0044478A">
      <w:pPr>
        <w:numPr>
          <w:ilvl w:val="2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44478A">
        <w:rPr>
          <w:rFonts w:eastAsia="Times New Roman" w:cs="Times New Roman"/>
          <w:kern w:val="0"/>
          <w:lang w:eastAsia="pt-PT"/>
          <w14:ligatures w14:val="none"/>
        </w:rPr>
        <w:t>interações,</w:t>
      </w:r>
    </w:p>
    <w:p w14:paraId="3A4D8EB8" w14:textId="77777777" w:rsidR="0044478A" w:rsidRPr="0044478A" w:rsidRDefault="0044478A" w:rsidP="0044478A">
      <w:pPr>
        <w:numPr>
          <w:ilvl w:val="2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44478A">
        <w:rPr>
          <w:rFonts w:eastAsia="Times New Roman" w:cs="Times New Roman"/>
          <w:kern w:val="0"/>
          <w:lang w:eastAsia="pt-PT"/>
          <w14:ligatures w14:val="none"/>
        </w:rPr>
        <w:t>suporte mútuo,</w:t>
      </w:r>
    </w:p>
    <w:p w14:paraId="4C69000F" w14:textId="77777777" w:rsidR="0044478A" w:rsidRPr="0044478A" w:rsidRDefault="0044478A" w:rsidP="0044478A">
      <w:pPr>
        <w:numPr>
          <w:ilvl w:val="2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44478A">
        <w:rPr>
          <w:rFonts w:eastAsia="Times New Roman" w:cs="Times New Roman"/>
          <w:kern w:val="0"/>
          <w:lang w:eastAsia="pt-PT"/>
          <w14:ligatures w14:val="none"/>
        </w:rPr>
        <w:t>capacidade de reorganização.</w:t>
      </w:r>
    </w:p>
    <w:p w14:paraId="733429C5" w14:textId="77777777" w:rsidR="0044478A" w:rsidRPr="0044478A" w:rsidRDefault="0044478A" w:rsidP="0044478A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44478A">
        <w:rPr>
          <w:rFonts w:eastAsia="Times New Roman" w:cs="Times New Roman"/>
          <w:kern w:val="0"/>
          <w:lang w:eastAsia="pt-PT"/>
          <w14:ligatures w14:val="none"/>
        </w:rPr>
        <w:t>Este ponto é diretamente compatível com sistemas técnicos complexos interconectados.</w:t>
      </w:r>
    </w:p>
    <w:p w14:paraId="3333611B" w14:textId="77777777" w:rsidR="0044478A" w:rsidRPr="0044478A" w:rsidRDefault="0044478A" w:rsidP="0044478A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44478A">
        <w:rPr>
          <w:rFonts w:eastAsia="Times New Roman" w:cs="Times New Roman"/>
          <w:kern w:val="0"/>
          <w:lang w:eastAsia="pt-PT"/>
          <w14:ligatures w14:val="none"/>
        </w:rPr>
        <w:t>Transformação como elemento central</w:t>
      </w:r>
    </w:p>
    <w:p w14:paraId="55210A12" w14:textId="77777777" w:rsidR="0044478A" w:rsidRPr="0044478A" w:rsidRDefault="0044478A" w:rsidP="0044478A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44478A">
        <w:rPr>
          <w:rFonts w:eastAsia="Times New Roman" w:cs="Times New Roman"/>
          <w:kern w:val="0"/>
          <w:lang w:eastAsia="pt-PT"/>
          <w14:ligatures w14:val="none"/>
        </w:rPr>
        <w:t>A crise é tratada como perigo e oportunidade (metáfora chinesa).</w:t>
      </w:r>
    </w:p>
    <w:p w14:paraId="6F8C3665" w14:textId="77777777" w:rsidR="0044478A" w:rsidRPr="0044478A" w:rsidRDefault="0044478A" w:rsidP="0044478A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44478A">
        <w:rPr>
          <w:rFonts w:eastAsia="Times New Roman" w:cs="Times New Roman"/>
          <w:kern w:val="0"/>
          <w:lang w:eastAsia="pt-PT"/>
          <w14:ligatures w14:val="none"/>
        </w:rPr>
        <w:t>Resiliência implica mudança estrutural positiva frente a perturbações severas.</w:t>
      </w:r>
    </w:p>
    <w:p w14:paraId="7FEFD668" w14:textId="31B4DA77" w:rsidR="0044478A" w:rsidRPr="0044478A" w:rsidRDefault="0044478A" w:rsidP="0044478A">
      <w:pPr>
        <w:spacing w:before="100" w:beforeAutospacing="1" w:after="100" w:afterAutospacing="1"/>
        <w:outlineLvl w:val="1"/>
        <w:rPr>
          <w:rFonts w:eastAsia="Times New Roman" w:cs="Times New Roman"/>
          <w:kern w:val="0"/>
          <w:lang w:eastAsia="pt-PT"/>
          <w14:ligatures w14:val="none"/>
        </w:rPr>
      </w:pPr>
      <w:r w:rsidRPr="0044478A">
        <w:rPr>
          <w:rFonts w:eastAsia="Times New Roman" w:cs="Times New Roman"/>
          <w:kern w:val="0"/>
          <w:lang w:eastAsia="pt-PT"/>
          <w14:ligatures w14:val="none"/>
        </w:rPr>
        <w:t>Relevância para a tese (resiliência de linhas de transmissão)</w:t>
      </w:r>
    </w:p>
    <w:p w14:paraId="2F015123" w14:textId="77777777" w:rsidR="0044478A" w:rsidRPr="0044478A" w:rsidRDefault="0044478A" w:rsidP="0044478A">
      <w:p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44478A">
        <w:rPr>
          <w:rFonts w:eastAsia="Times New Roman" w:cs="Times New Roman"/>
          <w:kern w:val="0"/>
          <w:lang w:eastAsia="pt-PT"/>
          <w14:ligatures w14:val="none"/>
        </w:rPr>
        <w:t>Apesar do domínio psicossocial, o artigo é conceitualmente estratégico para o enquadramento da sua tese:</w:t>
      </w:r>
    </w:p>
    <w:p w14:paraId="60928135" w14:textId="77777777" w:rsidR="0044478A" w:rsidRPr="0044478A" w:rsidRDefault="0044478A" w:rsidP="0044478A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44478A">
        <w:rPr>
          <w:rFonts w:eastAsia="Times New Roman" w:cs="Times New Roman"/>
          <w:kern w:val="0"/>
          <w:lang w:eastAsia="pt-PT"/>
          <w14:ligatures w14:val="none"/>
        </w:rPr>
        <w:t>Dá suporte teórico claro à distinção:</w:t>
      </w:r>
    </w:p>
    <w:p w14:paraId="6F73B1C2" w14:textId="77777777" w:rsidR="0044478A" w:rsidRPr="0044478A" w:rsidRDefault="0044478A" w:rsidP="0044478A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44478A">
        <w:rPr>
          <w:rFonts w:eastAsia="Times New Roman" w:cs="Times New Roman"/>
          <w:kern w:val="0"/>
          <w:lang w:eastAsia="pt-PT"/>
          <w14:ligatures w14:val="none"/>
        </w:rPr>
        <w:t>confiabilidade / recuperação rápida</w:t>
      </w:r>
      <w:r w:rsidRPr="0044478A">
        <w:rPr>
          <w:rFonts w:eastAsia="Times New Roman" w:cs="Times New Roman"/>
          <w:kern w:val="0"/>
          <w:lang w:eastAsia="pt-PT"/>
          <w14:ligatures w14:val="none"/>
        </w:rPr>
        <w:br/>
        <w:t>vs.</w:t>
      </w:r>
    </w:p>
    <w:p w14:paraId="447741B5" w14:textId="77777777" w:rsidR="0044478A" w:rsidRPr="0044478A" w:rsidRDefault="0044478A" w:rsidP="0044478A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44478A">
        <w:rPr>
          <w:rFonts w:eastAsia="Times New Roman" w:cs="Times New Roman"/>
          <w:kern w:val="0"/>
          <w:lang w:eastAsia="pt-PT"/>
          <w14:ligatures w14:val="none"/>
        </w:rPr>
        <w:t>resiliência / adaptação estrutural.</w:t>
      </w:r>
    </w:p>
    <w:p w14:paraId="2E209BB1" w14:textId="77777777" w:rsidR="0044478A" w:rsidRPr="0044478A" w:rsidRDefault="0044478A" w:rsidP="0044478A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44478A">
        <w:rPr>
          <w:rFonts w:eastAsia="Times New Roman" w:cs="Times New Roman"/>
          <w:kern w:val="0"/>
          <w:lang w:eastAsia="pt-PT"/>
          <w14:ligatures w14:val="none"/>
        </w:rPr>
        <w:t>Justifica o desenvolvimento de um índice de resiliência que:</w:t>
      </w:r>
    </w:p>
    <w:p w14:paraId="34018E19" w14:textId="77777777" w:rsidR="0044478A" w:rsidRPr="0044478A" w:rsidRDefault="0044478A" w:rsidP="0044478A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44478A">
        <w:rPr>
          <w:rFonts w:eastAsia="Times New Roman" w:cs="Times New Roman"/>
          <w:kern w:val="0"/>
          <w:lang w:eastAsia="pt-PT"/>
          <w14:ligatures w14:val="none"/>
        </w:rPr>
        <w:t>não dependa apenas do tempo de recomposição;</w:t>
      </w:r>
    </w:p>
    <w:p w14:paraId="3AB522C9" w14:textId="77777777" w:rsidR="0044478A" w:rsidRPr="0044478A" w:rsidRDefault="0044478A" w:rsidP="0044478A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44478A">
        <w:rPr>
          <w:rFonts w:eastAsia="Times New Roman" w:cs="Times New Roman"/>
          <w:kern w:val="0"/>
          <w:lang w:eastAsia="pt-PT"/>
          <w14:ligatures w14:val="none"/>
        </w:rPr>
        <w:t>incorpore mudanças permanentes no regime operacional após eventos extremos.</w:t>
      </w:r>
    </w:p>
    <w:p w14:paraId="52043A5B" w14:textId="77777777" w:rsidR="0044478A" w:rsidRPr="0044478A" w:rsidRDefault="0044478A" w:rsidP="0044478A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44478A">
        <w:rPr>
          <w:rFonts w:eastAsia="Times New Roman" w:cs="Times New Roman"/>
          <w:kern w:val="0"/>
          <w:lang w:eastAsia="pt-PT"/>
          <w14:ligatures w14:val="none"/>
        </w:rPr>
        <w:t>Serve como ponte conceitual entre:</w:t>
      </w:r>
    </w:p>
    <w:p w14:paraId="073F9DE3" w14:textId="77777777" w:rsidR="0044478A" w:rsidRPr="0044478A" w:rsidRDefault="0044478A" w:rsidP="0044478A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proofErr w:type="spellStart"/>
      <w:r w:rsidRPr="0044478A">
        <w:rPr>
          <w:rFonts w:eastAsia="Times New Roman" w:cs="Times New Roman"/>
          <w:kern w:val="0"/>
          <w:lang w:eastAsia="pt-PT"/>
          <w14:ligatures w14:val="none"/>
        </w:rPr>
        <w:t>Holling</w:t>
      </w:r>
      <w:proofErr w:type="spellEnd"/>
      <w:r w:rsidRPr="0044478A">
        <w:rPr>
          <w:rFonts w:eastAsia="Times New Roman" w:cs="Times New Roman"/>
          <w:kern w:val="0"/>
          <w:lang w:eastAsia="pt-PT"/>
          <w14:ligatures w14:val="none"/>
        </w:rPr>
        <w:t xml:space="preserve"> (1973) — resiliência sistêmica;</w:t>
      </w:r>
    </w:p>
    <w:p w14:paraId="2E98C55D" w14:textId="77777777" w:rsidR="0044478A" w:rsidRPr="0044478A" w:rsidRDefault="0044478A" w:rsidP="0044478A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44478A">
        <w:rPr>
          <w:rFonts w:eastAsia="Times New Roman" w:cs="Times New Roman"/>
          <w:kern w:val="0"/>
          <w:lang w:eastAsia="pt-PT"/>
          <w14:ligatures w14:val="none"/>
        </w:rPr>
        <w:t>literatura moderna de resiliência em infraestruturas críticas e sistemas elétricos.</w:t>
      </w:r>
    </w:p>
    <w:p w14:paraId="35D84798" w14:textId="77777777" w:rsidR="0044478A" w:rsidRPr="0044478A" w:rsidRDefault="0044478A" w:rsidP="0044478A">
      <w:p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44478A">
        <w:rPr>
          <w:rFonts w:eastAsia="Times New Roman" w:cs="Times New Roman"/>
          <w:kern w:val="0"/>
          <w:lang w:eastAsia="pt-PT"/>
          <w14:ligatures w14:val="none"/>
        </w:rPr>
        <w:t>O artigo é especialmente útil para fundamentar a terminologia (</w:t>
      </w:r>
      <w:proofErr w:type="spellStart"/>
      <w:r w:rsidRPr="0044478A">
        <w:rPr>
          <w:rFonts w:eastAsia="Times New Roman" w:cs="Times New Roman"/>
          <w:i/>
          <w:iCs/>
          <w:kern w:val="0"/>
          <w:lang w:eastAsia="pt-PT"/>
          <w14:ligatures w14:val="none"/>
        </w:rPr>
        <w:t>bounce</w:t>
      </w:r>
      <w:proofErr w:type="spellEnd"/>
      <w:r w:rsidRPr="0044478A">
        <w:rPr>
          <w:rFonts w:eastAsia="Times New Roman" w:cs="Times New Roman"/>
          <w:i/>
          <w:iCs/>
          <w:kern w:val="0"/>
          <w:lang w:eastAsia="pt-PT"/>
          <w14:ligatures w14:val="none"/>
        </w:rPr>
        <w:t xml:space="preserve"> </w:t>
      </w:r>
      <w:proofErr w:type="spellStart"/>
      <w:r w:rsidRPr="0044478A">
        <w:rPr>
          <w:rFonts w:eastAsia="Times New Roman" w:cs="Times New Roman"/>
          <w:i/>
          <w:iCs/>
          <w:kern w:val="0"/>
          <w:lang w:eastAsia="pt-PT"/>
          <w14:ligatures w14:val="none"/>
        </w:rPr>
        <w:t>back</w:t>
      </w:r>
      <w:proofErr w:type="spellEnd"/>
      <w:r w:rsidRPr="0044478A">
        <w:rPr>
          <w:rFonts w:eastAsia="Times New Roman" w:cs="Times New Roman"/>
          <w:kern w:val="0"/>
          <w:lang w:eastAsia="pt-PT"/>
          <w14:ligatures w14:val="none"/>
        </w:rPr>
        <w:t xml:space="preserve"> × </w:t>
      </w:r>
      <w:proofErr w:type="spellStart"/>
      <w:r w:rsidRPr="0044478A">
        <w:rPr>
          <w:rFonts w:eastAsia="Times New Roman" w:cs="Times New Roman"/>
          <w:i/>
          <w:iCs/>
          <w:kern w:val="0"/>
          <w:lang w:eastAsia="pt-PT"/>
          <w14:ligatures w14:val="none"/>
        </w:rPr>
        <w:t>bounce</w:t>
      </w:r>
      <w:proofErr w:type="spellEnd"/>
      <w:r w:rsidRPr="0044478A">
        <w:rPr>
          <w:rFonts w:eastAsia="Times New Roman" w:cs="Times New Roman"/>
          <w:i/>
          <w:iCs/>
          <w:kern w:val="0"/>
          <w:lang w:eastAsia="pt-PT"/>
          <w14:ligatures w14:val="none"/>
        </w:rPr>
        <w:t xml:space="preserve"> </w:t>
      </w:r>
      <w:proofErr w:type="spellStart"/>
      <w:r w:rsidRPr="0044478A">
        <w:rPr>
          <w:rFonts w:eastAsia="Times New Roman" w:cs="Times New Roman"/>
          <w:i/>
          <w:iCs/>
          <w:kern w:val="0"/>
          <w:lang w:eastAsia="pt-PT"/>
          <w14:ligatures w14:val="none"/>
        </w:rPr>
        <w:t>forward</w:t>
      </w:r>
      <w:proofErr w:type="spellEnd"/>
      <w:r w:rsidRPr="0044478A">
        <w:rPr>
          <w:rFonts w:eastAsia="Times New Roman" w:cs="Times New Roman"/>
          <w:kern w:val="0"/>
          <w:lang w:eastAsia="pt-PT"/>
          <w14:ligatures w14:val="none"/>
        </w:rPr>
        <w:t>) que você já utiliza no Projeto de Tese.</w:t>
      </w:r>
    </w:p>
    <w:p w14:paraId="2B1EC446" w14:textId="77777777" w:rsidR="0044478A" w:rsidRPr="0044478A" w:rsidRDefault="0044478A" w:rsidP="0044478A">
      <w:pPr>
        <w:spacing w:before="100" w:beforeAutospacing="1" w:after="100" w:afterAutospacing="1"/>
        <w:outlineLvl w:val="1"/>
        <w:rPr>
          <w:rFonts w:eastAsia="Times New Roman" w:cs="Times New Roman"/>
          <w:kern w:val="0"/>
          <w:lang w:eastAsia="pt-PT"/>
          <w14:ligatures w14:val="none"/>
        </w:rPr>
      </w:pPr>
      <w:r w:rsidRPr="0044478A">
        <w:rPr>
          <w:rFonts w:eastAsia="Times New Roman" w:cs="Times New Roman"/>
          <w:kern w:val="0"/>
          <w:lang w:eastAsia="pt-PT"/>
          <w14:ligatures w14:val="none"/>
        </w:rPr>
        <w:t>Decisão</w:t>
      </w:r>
    </w:p>
    <w:p w14:paraId="565C6D39" w14:textId="17C05597" w:rsidR="0044478A" w:rsidRPr="0044478A" w:rsidRDefault="0044478A" w:rsidP="0044478A">
      <w:p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44478A">
        <w:rPr>
          <w:rFonts w:eastAsia="Times New Roman" w:cs="Times New Roman"/>
          <w:kern w:val="0"/>
          <w:lang w:eastAsia="pt-PT"/>
          <w14:ligatures w14:val="none"/>
        </w:rPr>
        <w:lastRenderedPageBreak/>
        <w:t>GUARDAR — referência conceitual essencial</w:t>
      </w:r>
    </w:p>
    <w:p w14:paraId="32D6FB99" w14:textId="77777777" w:rsidR="0044478A" w:rsidRPr="0044478A" w:rsidRDefault="0044478A" w:rsidP="0044478A">
      <w:p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44478A">
        <w:rPr>
          <w:rFonts w:eastAsia="Times New Roman" w:cs="Times New Roman"/>
          <w:kern w:val="0"/>
          <w:lang w:eastAsia="pt-PT"/>
          <w14:ligatures w14:val="none"/>
        </w:rPr>
        <w:t>Classificação recomendada:</w:t>
      </w:r>
    </w:p>
    <w:p w14:paraId="7C7EF8E4" w14:textId="77777777" w:rsidR="0044478A" w:rsidRPr="0044478A" w:rsidRDefault="0044478A" w:rsidP="0044478A">
      <w:p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44478A">
        <w:rPr>
          <w:rFonts w:eastAsia="Times New Roman" w:cs="Times New Roman"/>
          <w:kern w:val="0"/>
          <w:lang w:eastAsia="pt-PT"/>
          <w14:ligatures w14:val="none"/>
        </w:rPr>
        <w:t>Resiliência como adaptação e transformação pós-evento extremo (</w:t>
      </w:r>
      <w:proofErr w:type="spellStart"/>
      <w:r w:rsidRPr="0044478A">
        <w:rPr>
          <w:rFonts w:eastAsia="Times New Roman" w:cs="Times New Roman"/>
          <w:i/>
          <w:iCs/>
          <w:kern w:val="0"/>
          <w:lang w:eastAsia="pt-PT"/>
          <w14:ligatures w14:val="none"/>
        </w:rPr>
        <w:t>bouncing</w:t>
      </w:r>
      <w:proofErr w:type="spellEnd"/>
      <w:r w:rsidRPr="0044478A">
        <w:rPr>
          <w:rFonts w:eastAsia="Times New Roman" w:cs="Times New Roman"/>
          <w:i/>
          <w:iCs/>
          <w:kern w:val="0"/>
          <w:lang w:eastAsia="pt-PT"/>
          <w14:ligatures w14:val="none"/>
        </w:rPr>
        <w:t xml:space="preserve"> </w:t>
      </w:r>
      <w:proofErr w:type="spellStart"/>
      <w:r w:rsidRPr="0044478A">
        <w:rPr>
          <w:rFonts w:eastAsia="Times New Roman" w:cs="Times New Roman"/>
          <w:i/>
          <w:iCs/>
          <w:kern w:val="0"/>
          <w:lang w:eastAsia="pt-PT"/>
          <w14:ligatures w14:val="none"/>
        </w:rPr>
        <w:t>forward</w:t>
      </w:r>
      <w:proofErr w:type="spellEnd"/>
      <w:r w:rsidRPr="0044478A">
        <w:rPr>
          <w:rFonts w:eastAsia="Times New Roman" w:cs="Times New Roman"/>
          <w:kern w:val="0"/>
          <w:lang w:eastAsia="pt-PT"/>
          <w14:ligatures w14:val="none"/>
        </w:rPr>
        <w:t>)</w:t>
      </w:r>
    </w:p>
    <w:p w14:paraId="2E1F3AA4" w14:textId="77777777" w:rsidR="0044478A" w:rsidRPr="0044478A" w:rsidRDefault="0044478A" w:rsidP="0044478A">
      <w:p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44478A">
        <w:rPr>
          <w:rFonts w:eastAsia="Times New Roman" w:cs="Times New Roman"/>
          <w:kern w:val="0"/>
          <w:lang w:eastAsia="pt-PT"/>
          <w14:ligatures w14:val="none"/>
        </w:rPr>
        <w:t>Não é artigo metodológico nem elétrico, mas é chave para a coerência conceitual do seu trabalho.</w:t>
      </w:r>
    </w:p>
    <w:p w14:paraId="664F8A76" w14:textId="77777777" w:rsidR="00C509A7" w:rsidRPr="0044478A" w:rsidRDefault="00C509A7" w:rsidP="0044478A">
      <w:pPr>
        <w:pStyle w:val="NormalWeb"/>
        <w:rPr>
          <w:sz w:val="22"/>
          <w:szCs w:val="22"/>
        </w:rPr>
      </w:pPr>
    </w:p>
    <w:sectPr w:rsidR="00C509A7" w:rsidRPr="0044478A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35BEF"/>
    <w:multiLevelType w:val="multilevel"/>
    <w:tmpl w:val="6788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BC4A44"/>
    <w:multiLevelType w:val="multilevel"/>
    <w:tmpl w:val="AA203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8603CA"/>
    <w:multiLevelType w:val="multilevel"/>
    <w:tmpl w:val="272E7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8218235">
    <w:abstractNumId w:val="1"/>
  </w:num>
  <w:num w:numId="2" w16cid:durableId="1123882248">
    <w:abstractNumId w:val="2"/>
  </w:num>
  <w:num w:numId="3" w16cid:durableId="332077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9A7"/>
    <w:rsid w:val="000131F2"/>
    <w:rsid w:val="00050A60"/>
    <w:rsid w:val="0007293B"/>
    <w:rsid w:val="0008424C"/>
    <w:rsid w:val="00096FFB"/>
    <w:rsid w:val="000B7674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6186C"/>
    <w:rsid w:val="00285BB1"/>
    <w:rsid w:val="002A63F1"/>
    <w:rsid w:val="002F61AF"/>
    <w:rsid w:val="003257C6"/>
    <w:rsid w:val="00347332"/>
    <w:rsid w:val="00386732"/>
    <w:rsid w:val="00393441"/>
    <w:rsid w:val="0039444F"/>
    <w:rsid w:val="003F704C"/>
    <w:rsid w:val="004234AF"/>
    <w:rsid w:val="00423B9B"/>
    <w:rsid w:val="00435A17"/>
    <w:rsid w:val="0044478A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63FDB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509A7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BCB31C"/>
  <w15:chartTrackingRefBased/>
  <w15:docId w15:val="{8722FF87-A168-418B-9D26-735E7D983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9A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9A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9A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9A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9A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9A7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9A7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9A7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9A7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9A7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C509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9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9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9A7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C509A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509A7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C509A7"/>
    <w:rPr>
      <w:b/>
      <w:bCs/>
    </w:rPr>
  </w:style>
  <w:style w:type="character" w:styleId="Emphasis">
    <w:name w:val="Emphasis"/>
    <w:basedOn w:val="DefaultParagraphFont"/>
    <w:uiPriority w:val="20"/>
    <w:qFormat/>
    <w:rsid w:val="00C509A7"/>
    <w:rPr>
      <w:i/>
      <w:iCs/>
    </w:rPr>
  </w:style>
  <w:style w:type="character" w:customStyle="1" w:styleId="relative">
    <w:name w:val="relative"/>
    <w:basedOn w:val="DefaultParagraphFont"/>
    <w:rsid w:val="0044478A"/>
  </w:style>
  <w:style w:type="paragraph" w:customStyle="1" w:styleId="not-prose">
    <w:name w:val="not-prose"/>
    <w:basedOn w:val="Normal"/>
    <w:rsid w:val="0044478A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370</Words>
  <Characters>2003</Characters>
  <Application>Microsoft Office Word</Application>
  <DocSecurity>0</DocSecurity>
  <Lines>16</Lines>
  <Paragraphs>4</Paragraphs>
  <ScaleCrop>false</ScaleCrop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4</cp:revision>
  <dcterms:created xsi:type="dcterms:W3CDTF">2025-12-31T16:46:00Z</dcterms:created>
  <dcterms:modified xsi:type="dcterms:W3CDTF">2026-01-04T01:27:00Z</dcterms:modified>
</cp:coreProperties>
</file>