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0837" w14:textId="6F5BA051" w:rsidR="00E8287A" w:rsidRPr="00FC3DD2" w:rsidRDefault="00FC3DD2">
      <w:pPr>
        <w:rPr>
          <w:rFonts w:cs="Times New Roman"/>
          <w:lang w:val="en-US"/>
        </w:rPr>
      </w:pPr>
      <w:r w:rsidRPr="00FC3DD2">
        <w:rPr>
          <w:rFonts w:cs="Times New Roman"/>
          <w:lang w:val="en-US"/>
        </w:rPr>
        <w:t>2002 Probabilistic assessment of power systems-IEEE</w:t>
      </w:r>
    </w:p>
    <w:p w14:paraId="5081BD4A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FC3DD2">
        <w:rPr>
          <w:rFonts w:eastAsia="Times New Roman" w:cs="Times New Roman"/>
          <w:kern w:val="0"/>
          <w:lang w:val="en-US" w:eastAsia="pt-PT"/>
          <w14:ligatures w14:val="none"/>
        </w:rPr>
        <w:t>Referência</w:t>
      </w:r>
      <w:proofErr w:type="spellEnd"/>
      <w:r w:rsidRPr="00FC3DD2">
        <w:rPr>
          <w:rFonts w:eastAsia="Times New Roman" w:cs="Times New Roman"/>
          <w:kern w:val="0"/>
          <w:lang w:val="en-US" w:eastAsia="pt-PT"/>
          <w14:ligatures w14:val="none"/>
        </w:rPr>
        <w:t xml:space="preserve"> </w:t>
      </w:r>
      <w:proofErr w:type="spellStart"/>
      <w:r w:rsidRPr="00FC3DD2">
        <w:rPr>
          <w:rFonts w:eastAsia="Times New Roman" w:cs="Times New Roman"/>
          <w:kern w:val="0"/>
          <w:lang w:val="en-US" w:eastAsia="pt-PT"/>
          <w14:ligatures w14:val="none"/>
        </w:rPr>
        <w:t>analisada</w:t>
      </w:r>
      <w:proofErr w:type="spellEnd"/>
      <w:r w:rsidRPr="00FC3DD2">
        <w:rPr>
          <w:rFonts w:eastAsia="Times New Roman" w:cs="Times New Roman"/>
          <w:kern w:val="0"/>
          <w:lang w:val="en-US" w:eastAsia="pt-PT"/>
          <w14:ligatures w14:val="none"/>
        </w:rPr>
        <w:br/>
        <w:t xml:space="preserve">ALLAN, R.; BILLINTON, R. </w:t>
      </w:r>
      <w:r w:rsidRPr="00FC3DD2">
        <w:rPr>
          <w:rFonts w:eastAsia="Times New Roman" w:cs="Times New Roman"/>
          <w:i/>
          <w:iCs/>
          <w:kern w:val="0"/>
          <w:lang w:val="en-US" w:eastAsia="pt-PT"/>
          <w14:ligatures w14:val="none"/>
        </w:rPr>
        <w:t>Probabilistic Assessment of Power Systems</w:t>
      </w:r>
      <w:r w:rsidRPr="00FC3DD2">
        <w:rPr>
          <w:rFonts w:eastAsia="Times New Roman" w:cs="Times New Roman"/>
          <w:kern w:val="0"/>
          <w:lang w:val="en-US" w:eastAsia="pt-PT"/>
          <w14:ligatures w14:val="none"/>
        </w:rPr>
        <w:t xml:space="preserve">. 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Proceedings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of 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the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IEEE, vol. 88, n. 2, pp. 140–162, 2000 (publicado no ciclo 2000–2001; amplamente citado como referência-base nos anos iniciais de 2000). </w:t>
      </w:r>
    </w:p>
    <w:p w14:paraId="7D9C4AD7" w14:textId="77777777" w:rsidR="00FC3DD2" w:rsidRPr="00FC3DD2" w:rsidRDefault="00FC3DD2" w:rsidP="00FC3DD2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Síntese técnica objetiva</w:t>
      </w:r>
    </w:p>
    <w:p w14:paraId="6FF01057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Este artigo é uma das referências clássicas e estruturantes da avaliação probabilística da confiabilidade de sistemas elétricos, cobrindo geração, transmissão e distribuição de forma integrada.</w:t>
      </w:r>
    </w:p>
    <w:p w14:paraId="67AFD71C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Principais contributos técnicos relevantes:</w:t>
      </w:r>
    </w:p>
    <w:p w14:paraId="5FDC309A" w14:textId="77777777" w:rsidR="00FC3DD2" w:rsidRPr="00FC3DD2" w:rsidRDefault="00FC3DD2" w:rsidP="00FC3D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Formalização da confiabilidade como fenômeno estocástico</w:t>
      </w:r>
    </w:p>
    <w:p w14:paraId="1D415F36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Abandono explícito de critérios puramente determinísticos.</w:t>
      </w:r>
    </w:p>
    <w:p w14:paraId="6FEE573B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Uso sistemático de modelos probabilísticos para capturar:</w:t>
      </w:r>
    </w:p>
    <w:p w14:paraId="2595709D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falhas aleatórias,</w:t>
      </w:r>
    </w:p>
    <w:p w14:paraId="710E0C60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durações de interrupção,</w:t>
      </w:r>
    </w:p>
    <w:p w14:paraId="42FDBACE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severidade das consequências.</w:t>
      </w:r>
    </w:p>
    <w:p w14:paraId="1AF45B76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Introduz e consolida índices como LOLP, LOLE, LOEE/EENS, EIR, SAIFI, SAIDI, entre outros.</w:t>
      </w:r>
    </w:p>
    <w:p w14:paraId="2B65838D" w14:textId="77777777" w:rsidR="00FC3DD2" w:rsidRPr="00FC3DD2" w:rsidRDefault="00FC3DD2" w:rsidP="00FC3D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Estrutura hierárquica dos sistemas elétricos</w:t>
      </w:r>
    </w:p>
    <w:p w14:paraId="70748F36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Definição clara dos níveis:</w:t>
      </w:r>
    </w:p>
    <w:p w14:paraId="42A70666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HLI – geração,</w:t>
      </w:r>
    </w:p>
    <w:p w14:paraId="1CAD5398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HLII – geração + transmissão (sistemas compostos),</w:t>
      </w:r>
    </w:p>
    <w:p w14:paraId="406CAE35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HLIII – distribuição.</w:t>
      </w:r>
    </w:p>
    <w:p w14:paraId="246405BE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Essa hierarquia é fundamental para separar fenômenos locais de impactos sistêmicos, algo central para o seu trabalho.</w:t>
      </w:r>
    </w:p>
    <w:p w14:paraId="2C3CFF60" w14:textId="77777777" w:rsidR="00FC3DD2" w:rsidRPr="00FC3DD2" w:rsidRDefault="00FC3DD2" w:rsidP="00FC3D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Integração entre confiabilidade técnica e economia</w:t>
      </w:r>
    </w:p>
    <w:p w14:paraId="3B1DC5F0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Introdução rigorosa dos conceitos de:</w:t>
      </w:r>
    </w:p>
    <w:p w14:paraId="003F6DA5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reliability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cost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(custo de investimento),</w:t>
      </w:r>
    </w:p>
    <w:p w14:paraId="1C5E042C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reliability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worth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(valor percebido pelo consumidor).</w:t>
      </w:r>
    </w:p>
    <w:p w14:paraId="5DD2CC6C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Uso de 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VoLL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/ IEAR para monetizar interrupções.</w:t>
      </w:r>
    </w:p>
    <w:p w14:paraId="7AF93B8C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Estabelece a noção de nível ótimo de confiabilidade, ponto de equilíbrio entre custo e benefício.</w:t>
      </w:r>
    </w:p>
    <w:p w14:paraId="466E74C7" w14:textId="77777777" w:rsidR="00FC3DD2" w:rsidRPr="00FC3DD2" w:rsidRDefault="00FC3DD2" w:rsidP="00FC3D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Modelagem de eventos ambientais e falhas dependentes</w:t>
      </w:r>
    </w:p>
    <w:p w14:paraId="1682C725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Reconhece explicitamente que:</w:t>
      </w:r>
    </w:p>
    <w:p w14:paraId="321E898B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falhas podem ser independentes, dependentes ou de modo comum;</w:t>
      </w:r>
    </w:p>
    <w:p w14:paraId="588F6EB0" w14:textId="77777777" w:rsidR="00FC3DD2" w:rsidRPr="00FC3DD2" w:rsidRDefault="00FC3DD2" w:rsidP="00FC3DD2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condições climáticas adversas aumentam taxas de falha (seção VI-E).</w:t>
      </w:r>
    </w:p>
    <w:p w14:paraId="119643EF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Este ponto é diretamente 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conectável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ao seu trabalho sobre eventos extremos.</w:t>
      </w:r>
    </w:p>
    <w:p w14:paraId="4CB8F42D" w14:textId="77777777" w:rsidR="00FC3DD2" w:rsidRPr="00FC3DD2" w:rsidRDefault="00FC3DD2" w:rsidP="00FC3DD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Limitação estrutural: confiabilidade ≠ resiliência</w:t>
      </w:r>
    </w:p>
    <w:p w14:paraId="6E7C3FB5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O artigo não trata de recuperação, adaptação ou mudança de regime.</w:t>
      </w:r>
    </w:p>
    <w:p w14:paraId="2FA4E908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A análise é focada em expectativas médias, não em trajetórias pós-evento extremo.</w:t>
      </w:r>
    </w:p>
    <w:p w14:paraId="648CAF7F" w14:textId="77777777" w:rsidR="00FC3DD2" w:rsidRPr="00FC3DD2" w:rsidRDefault="00FC3DD2" w:rsidP="00FC3DD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val="en-US" w:eastAsia="pt-PT"/>
          <w14:ligatures w14:val="none"/>
        </w:rPr>
      </w:pPr>
      <w:proofErr w:type="spellStart"/>
      <w:proofErr w:type="gramStart"/>
      <w:r w:rsidRPr="00FC3DD2">
        <w:rPr>
          <w:rFonts w:eastAsia="Times New Roman" w:cs="Times New Roman"/>
          <w:kern w:val="0"/>
          <w:lang w:val="en-US" w:eastAsia="pt-PT"/>
          <w14:ligatures w14:val="none"/>
        </w:rPr>
        <w:t>Não</w:t>
      </w:r>
      <w:proofErr w:type="spellEnd"/>
      <w:proofErr w:type="gramEnd"/>
      <w:r w:rsidRPr="00FC3DD2">
        <w:rPr>
          <w:rFonts w:eastAsia="Times New Roman" w:cs="Times New Roman"/>
          <w:kern w:val="0"/>
          <w:lang w:val="en-US" w:eastAsia="pt-PT"/>
          <w14:ligatures w14:val="none"/>
        </w:rPr>
        <w:t xml:space="preserve"> distingue </w:t>
      </w:r>
      <w:r w:rsidRPr="00FC3DD2">
        <w:rPr>
          <w:rFonts w:eastAsia="Times New Roman" w:cs="Times New Roman"/>
          <w:i/>
          <w:iCs/>
          <w:kern w:val="0"/>
          <w:lang w:val="en-US" w:eastAsia="pt-PT"/>
          <w14:ligatures w14:val="none"/>
        </w:rPr>
        <w:t>bounce back</w:t>
      </w:r>
      <w:r w:rsidRPr="00FC3DD2">
        <w:rPr>
          <w:rFonts w:eastAsia="Times New Roman" w:cs="Times New Roman"/>
          <w:kern w:val="0"/>
          <w:lang w:val="en-US" w:eastAsia="pt-PT"/>
          <w14:ligatures w14:val="none"/>
        </w:rPr>
        <w:t xml:space="preserve"> de </w:t>
      </w:r>
      <w:r w:rsidRPr="00FC3DD2">
        <w:rPr>
          <w:rFonts w:eastAsia="Times New Roman" w:cs="Times New Roman"/>
          <w:i/>
          <w:iCs/>
          <w:kern w:val="0"/>
          <w:lang w:val="en-US" w:eastAsia="pt-PT"/>
          <w14:ligatures w14:val="none"/>
        </w:rPr>
        <w:t>bounce forward</w:t>
      </w:r>
      <w:r w:rsidRPr="00FC3DD2">
        <w:rPr>
          <w:rFonts w:eastAsia="Times New Roman" w:cs="Times New Roman"/>
          <w:kern w:val="0"/>
          <w:lang w:val="en-US" w:eastAsia="pt-PT"/>
          <w14:ligatures w14:val="none"/>
        </w:rPr>
        <w:t>.</w:t>
      </w:r>
    </w:p>
    <w:p w14:paraId="13C6B61F" w14:textId="180B8B43" w:rsidR="00FC3DD2" w:rsidRPr="00FC3DD2" w:rsidRDefault="00FC3DD2" w:rsidP="00FC3DD2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Relevância direta para a tese (resiliência de linhas de transmissão)</w:t>
      </w:r>
    </w:p>
    <w:p w14:paraId="4945863F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Este artigo é indispensável, mas com papel bem delimitado:</w:t>
      </w:r>
    </w:p>
    <w:p w14:paraId="0B3C0791" w14:textId="77777777" w:rsidR="00FC3DD2" w:rsidRPr="00FC3DD2" w:rsidRDefault="00FC3DD2" w:rsidP="00FC3D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Serve como:</w:t>
      </w:r>
    </w:p>
    <w:p w14:paraId="18FAEFA3" w14:textId="77777777" w:rsidR="00FC3DD2" w:rsidRPr="00FC3DD2" w:rsidRDefault="00FC3DD2" w:rsidP="00FC3DD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base metodológica para comparação;</w:t>
      </w:r>
    </w:p>
    <w:p w14:paraId="6DC80F43" w14:textId="77777777" w:rsidR="00FC3DD2" w:rsidRPr="00FC3DD2" w:rsidRDefault="00FC3DD2" w:rsidP="00FC3DD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lastRenderedPageBreak/>
        <w:t xml:space="preserve">referência de contraste entre </w:t>
      </w:r>
      <w:r w:rsidRPr="00FC3DD2">
        <w:rPr>
          <w:rFonts w:eastAsia="Times New Roman" w:cs="Times New Roman"/>
          <w:i/>
          <w:iCs/>
          <w:kern w:val="0"/>
          <w:lang w:eastAsia="pt-PT"/>
          <w14:ligatures w14:val="none"/>
        </w:rPr>
        <w:t>confiabilidade clássica</w:t>
      </w:r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r w:rsidRPr="00FC3DD2">
        <w:rPr>
          <w:rFonts w:eastAsia="Times New Roman" w:cs="Times New Roman"/>
          <w:i/>
          <w:iCs/>
          <w:kern w:val="0"/>
          <w:lang w:eastAsia="pt-PT"/>
          <w14:ligatures w14:val="none"/>
        </w:rPr>
        <w:t>resiliência</w:t>
      </w:r>
      <w:r w:rsidRPr="00FC3DD2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2EFE6F62" w14:textId="77777777" w:rsidR="00FC3DD2" w:rsidRPr="00FC3DD2" w:rsidRDefault="00FC3DD2" w:rsidP="00FC3D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Fundamenta tecnicamente:</w:t>
      </w:r>
    </w:p>
    <w:p w14:paraId="7203C7C2" w14:textId="77777777" w:rsidR="00FC3DD2" w:rsidRPr="00FC3DD2" w:rsidRDefault="00FC3DD2" w:rsidP="00FC3DD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por que índices tradicionais (LOLE, EENS, SAIDI) não capturam resiliência;</w:t>
      </w:r>
    </w:p>
    <w:p w14:paraId="1613506B" w14:textId="77777777" w:rsidR="00FC3DD2" w:rsidRPr="00FC3DD2" w:rsidRDefault="00FC3DD2" w:rsidP="00FC3DD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a necessidade de um novo índice, como o que você propõe.</w:t>
      </w:r>
    </w:p>
    <w:p w14:paraId="7E00E4EB" w14:textId="77777777" w:rsidR="00FC3DD2" w:rsidRPr="00FC3DD2" w:rsidRDefault="00FC3DD2" w:rsidP="00FC3DD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Permite demonstrar, com respaldo IEEE, que:</w:t>
      </w:r>
    </w:p>
    <w:p w14:paraId="035B1997" w14:textId="77777777" w:rsidR="00FC3DD2" w:rsidRPr="00FC3DD2" w:rsidRDefault="00FC3DD2" w:rsidP="00FC3DD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confiabilidade avalia probabilidade e severidade média;</w:t>
      </w:r>
    </w:p>
    <w:p w14:paraId="58F1600A" w14:textId="77777777" w:rsidR="00FC3DD2" w:rsidRPr="00FC3DD2" w:rsidRDefault="00FC3DD2" w:rsidP="00FC3DD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resiliência exige dimensão temporal, estrutural e adaptativa.</w:t>
      </w:r>
    </w:p>
    <w:p w14:paraId="3EFE4396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Este artigo é frequentemente citado em teses para mostrar o “estado da arte que precisa ser superado”, exatamente o seu caso.</w:t>
      </w:r>
    </w:p>
    <w:p w14:paraId="6146D91E" w14:textId="77777777" w:rsidR="00FC3DD2" w:rsidRPr="00FC3DD2" w:rsidRDefault="00FC3DD2" w:rsidP="00FC3DD2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Decisão</w:t>
      </w:r>
    </w:p>
    <w:p w14:paraId="76042E55" w14:textId="6E514DEA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GUARDAR — referência FUNDAMENTAL (</w:t>
      </w:r>
      <w:proofErr w:type="spellStart"/>
      <w:r w:rsidRPr="00FC3DD2">
        <w:rPr>
          <w:rFonts w:eastAsia="Times New Roman" w:cs="Times New Roman"/>
          <w:kern w:val="0"/>
          <w:lang w:eastAsia="pt-PT"/>
          <w14:ligatures w14:val="none"/>
        </w:rPr>
        <w:t>baseline</w:t>
      </w:r>
      <w:proofErr w:type="spellEnd"/>
      <w:r w:rsidRPr="00FC3DD2">
        <w:rPr>
          <w:rFonts w:eastAsia="Times New Roman" w:cs="Times New Roman"/>
          <w:kern w:val="0"/>
          <w:lang w:eastAsia="pt-PT"/>
          <w14:ligatures w14:val="none"/>
        </w:rPr>
        <w:t xml:space="preserve"> técnico)</w:t>
      </w:r>
    </w:p>
    <w:p w14:paraId="19727C4D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Classificação recomendada:</w:t>
      </w:r>
    </w:p>
    <w:p w14:paraId="58174E8B" w14:textId="77777777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Confiabilidade probabilística clássica de sistemas elétricos (referência-base)</w:t>
      </w:r>
    </w:p>
    <w:p w14:paraId="112D09A9" w14:textId="0579204B" w:rsidR="00FC3DD2" w:rsidRPr="00FC3DD2" w:rsidRDefault="00FC3DD2" w:rsidP="00FC3DD2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Este artigo deve aparecer explicitamente na tese para:</w:t>
      </w:r>
    </w:p>
    <w:p w14:paraId="07D83FBC" w14:textId="77777777" w:rsidR="00FC3DD2" w:rsidRPr="00FC3DD2" w:rsidRDefault="00FC3DD2" w:rsidP="00FC3D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ancorar o leitor;</w:t>
      </w:r>
    </w:p>
    <w:p w14:paraId="0E11D0A3" w14:textId="77777777" w:rsidR="00FC3DD2" w:rsidRPr="00FC3DD2" w:rsidRDefault="00FC3DD2" w:rsidP="00FC3D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justificar conceitualmente a insuficiência das métricas tradicionais;</w:t>
      </w:r>
    </w:p>
    <w:p w14:paraId="5C7DBFAD" w14:textId="77777777" w:rsidR="00FC3DD2" w:rsidRPr="00FC3DD2" w:rsidRDefault="00FC3DD2" w:rsidP="00FC3DD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FC3DD2">
        <w:rPr>
          <w:rFonts w:eastAsia="Times New Roman" w:cs="Times New Roman"/>
          <w:kern w:val="0"/>
          <w:lang w:eastAsia="pt-PT"/>
          <w14:ligatures w14:val="none"/>
        </w:rPr>
        <w:t>dar legitimidade IEEE ao avanço proposto pelo seu índice de resiliência.</w:t>
      </w:r>
    </w:p>
    <w:p w14:paraId="21E2B2F8" w14:textId="77777777" w:rsidR="00E8287A" w:rsidRPr="00FC3DD2" w:rsidRDefault="00E8287A" w:rsidP="00FC3DD2">
      <w:pPr>
        <w:pStyle w:val="NormalWeb"/>
        <w:rPr>
          <w:sz w:val="22"/>
          <w:szCs w:val="22"/>
        </w:rPr>
      </w:pPr>
    </w:p>
    <w:sectPr w:rsidR="00E8287A" w:rsidRPr="00FC3DD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3753"/>
    <w:multiLevelType w:val="multilevel"/>
    <w:tmpl w:val="4518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9087E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605BB"/>
    <w:multiLevelType w:val="multilevel"/>
    <w:tmpl w:val="09C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D2E1B"/>
    <w:multiLevelType w:val="multilevel"/>
    <w:tmpl w:val="DD30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015367">
    <w:abstractNumId w:val="0"/>
  </w:num>
  <w:num w:numId="2" w16cid:durableId="1023559985">
    <w:abstractNumId w:val="3"/>
  </w:num>
  <w:num w:numId="3" w16cid:durableId="6713099">
    <w:abstractNumId w:val="1"/>
  </w:num>
  <w:num w:numId="4" w16cid:durableId="102598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7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8287A"/>
    <w:rsid w:val="00ED59D0"/>
    <w:rsid w:val="00EF273B"/>
    <w:rsid w:val="00F27993"/>
    <w:rsid w:val="00F7611F"/>
    <w:rsid w:val="00F77278"/>
    <w:rsid w:val="00FC3DD2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6536"/>
  <w15:chartTrackingRefBased/>
  <w15:docId w15:val="{F4A11816-FC86-4F5D-8306-EEFBD724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8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8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8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8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8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87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87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87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87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87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8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87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828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287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8287A"/>
    <w:rPr>
      <w:b/>
      <w:bCs/>
    </w:rPr>
  </w:style>
  <w:style w:type="character" w:styleId="Emphasis">
    <w:name w:val="Emphasis"/>
    <w:basedOn w:val="DefaultParagraphFont"/>
    <w:uiPriority w:val="20"/>
    <w:qFormat/>
    <w:rsid w:val="00E8287A"/>
    <w:rPr>
      <w:i/>
      <w:iCs/>
    </w:rPr>
  </w:style>
  <w:style w:type="character" w:customStyle="1" w:styleId="relative">
    <w:name w:val="relative"/>
    <w:basedOn w:val="DefaultParagraphFont"/>
    <w:rsid w:val="00FC3DD2"/>
  </w:style>
  <w:style w:type="paragraph" w:customStyle="1" w:styleId="not-prose">
    <w:name w:val="not-prose"/>
    <w:basedOn w:val="Normal"/>
    <w:rsid w:val="00FC3DD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486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2025-12-31T16:48:00Z</dcterms:created>
  <dcterms:modified xsi:type="dcterms:W3CDTF">2026-01-04T01:30:00Z</dcterms:modified>
</cp:coreProperties>
</file>