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1882" w14:textId="54E98A0B" w:rsidR="006E0AA1" w:rsidRPr="006E0AA1" w:rsidRDefault="006E0AA1" w:rsidP="006E0AA1">
      <w:pPr>
        <w:pStyle w:val="NormalWeb"/>
        <w:rPr>
          <w:lang w:val="en-US"/>
        </w:rPr>
      </w:pPr>
      <w:r w:rsidRPr="006E0AA1">
        <w:rPr>
          <w:lang w:val="en-US"/>
        </w:rPr>
        <w:t>The impact of climate change on transmission line ratings</w:t>
      </w:r>
    </w:p>
    <w:p w14:paraId="3E2A6E99" w14:textId="1CDCFE28" w:rsidR="006E0AA1" w:rsidRDefault="006E0AA1" w:rsidP="006E0AA1">
      <w:pPr>
        <w:pStyle w:val="NormalWeb"/>
      </w:pPr>
      <w:r>
        <w:t xml:space="preserve">Este documento é </w:t>
      </w:r>
      <w:r>
        <w:rPr>
          <w:rStyle w:val="Strong"/>
          <w:rFonts w:eastAsiaTheme="majorEastAsia"/>
        </w:rPr>
        <w:t>altamente técnico, quantitativo e diretamente aplicável</w:t>
      </w:r>
      <w:r>
        <w:t xml:space="preserve"> à sua tese. Trata-se de um </w:t>
      </w:r>
      <w:r>
        <w:rPr>
          <w:rStyle w:val="Strong"/>
          <w:rFonts w:eastAsiaTheme="majorEastAsia"/>
        </w:rPr>
        <w:t>estudo de caso oficial</w:t>
      </w:r>
      <w:r>
        <w:t xml:space="preserve"> que avalia, com base em </w:t>
      </w:r>
      <w:r>
        <w:rPr>
          <w:rStyle w:val="Strong"/>
          <w:rFonts w:eastAsiaTheme="majorEastAsia"/>
        </w:rPr>
        <w:t>projeções climáticas</w:t>
      </w:r>
      <w:r>
        <w:t xml:space="preserve">, o impacto do aumento da temperatura na </w:t>
      </w:r>
      <w:r>
        <w:rPr>
          <w:rStyle w:val="Strong"/>
          <w:rFonts w:eastAsiaTheme="majorEastAsia"/>
        </w:rPr>
        <w:t>capacidade de transmissão (</w:t>
      </w:r>
      <w:proofErr w:type="spellStart"/>
      <w:r>
        <w:rPr>
          <w:rStyle w:val="Strong"/>
          <w:rFonts w:eastAsiaTheme="majorEastAsia"/>
        </w:rPr>
        <w:t>line</w:t>
      </w:r>
      <w:proofErr w:type="spellEnd"/>
      <w:r>
        <w:rPr>
          <w:rStyle w:val="Strong"/>
          <w:rFonts w:eastAsiaTheme="majorEastAsia"/>
        </w:rPr>
        <w:t xml:space="preserve"> ratings)</w:t>
      </w:r>
      <w:r>
        <w:t xml:space="preserve"> de linhas de alta tensão.</w:t>
      </w:r>
    </w:p>
    <w:p w14:paraId="7CE1C6B5" w14:textId="77777777" w:rsidR="006E0AA1" w:rsidRDefault="006E0AA1" w:rsidP="006E0AA1">
      <w:pPr>
        <w:pStyle w:val="NormalWeb"/>
      </w:pPr>
      <w:r>
        <w:t>Principais contributos técnicos:</w:t>
      </w:r>
    </w:p>
    <w:p w14:paraId="7C9119DE" w14:textId="77777777" w:rsidR="006E0AA1" w:rsidRDefault="006E0AA1" w:rsidP="006E0AA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Ligação direta entre clima e capacidade de transmissão</w:t>
      </w:r>
    </w:p>
    <w:p w14:paraId="659A4D43" w14:textId="77777777" w:rsidR="006E0AA1" w:rsidRDefault="006E0AA1" w:rsidP="006E0AA1">
      <w:pPr>
        <w:pStyle w:val="NormalWeb"/>
        <w:numPr>
          <w:ilvl w:val="1"/>
          <w:numId w:val="1"/>
        </w:numPr>
      </w:pPr>
      <w:r>
        <w:t>Demonstra que o aumento da temperatura ambiente reduz a capacidade térmica das linhas, aumentando flecha e risco de violação de afastamentos mínimos.</w:t>
      </w:r>
    </w:p>
    <w:p w14:paraId="6B92E7AB" w14:textId="77777777" w:rsidR="006E0AA1" w:rsidRDefault="006E0AA1" w:rsidP="006E0AA1">
      <w:pPr>
        <w:pStyle w:val="NormalWeb"/>
        <w:numPr>
          <w:ilvl w:val="1"/>
          <w:numId w:val="1"/>
        </w:numPr>
      </w:pPr>
      <w:r>
        <w:t>Quantifica a redução teórica de capacidade (</w:t>
      </w:r>
      <w:r>
        <w:rPr>
          <w:rStyle w:val="Emphasis"/>
          <w:rFonts w:eastAsiaTheme="majorEastAsia"/>
        </w:rPr>
        <w:t>de-rating</w:t>
      </w:r>
      <w:r>
        <w:t>).</w:t>
      </w:r>
    </w:p>
    <w:p w14:paraId="7DCE6D46" w14:textId="77777777" w:rsidR="006E0AA1" w:rsidRDefault="006E0AA1" w:rsidP="006E0AA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Uso explícito de cenários climáticos (</w:t>
      </w:r>
      <w:proofErr w:type="spellStart"/>
      <w:r>
        <w:rPr>
          <w:rStyle w:val="Strong"/>
          <w:rFonts w:eastAsiaTheme="majorEastAsia"/>
        </w:rPr>
        <w:t>RCPs</w:t>
      </w:r>
      <w:proofErr w:type="spellEnd"/>
      <w:r>
        <w:rPr>
          <w:rStyle w:val="Strong"/>
          <w:rFonts w:eastAsiaTheme="majorEastAsia"/>
        </w:rPr>
        <w:t>)</w:t>
      </w:r>
    </w:p>
    <w:p w14:paraId="734314D5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Avaliação sob </w:t>
      </w:r>
      <w:r>
        <w:rPr>
          <w:rStyle w:val="Strong"/>
          <w:rFonts w:eastAsiaTheme="majorEastAsia"/>
        </w:rPr>
        <w:t>RCP2.6, RCP4.5 e RCP8.5</w:t>
      </w:r>
      <w:r>
        <w:t>, alinhada ao IPCC.</w:t>
      </w:r>
    </w:p>
    <w:p w14:paraId="6F8319B3" w14:textId="77777777" w:rsidR="006E0AA1" w:rsidRDefault="006E0AA1" w:rsidP="006E0AA1">
      <w:pPr>
        <w:pStyle w:val="NormalWeb"/>
        <w:numPr>
          <w:ilvl w:val="1"/>
          <w:numId w:val="1"/>
        </w:numPr>
      </w:pPr>
      <w:r>
        <w:t>Uso de múltiplos modelos climáticos globais (ACCESS1.0, MIROC5, HadGEM2-CC, GFDL-ESM2M, CNRM-CM5), com análise de incertezas.</w:t>
      </w:r>
    </w:p>
    <w:p w14:paraId="137DDEA4" w14:textId="77777777" w:rsidR="006E0AA1" w:rsidRDefault="006E0AA1" w:rsidP="006E0AA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Metodologia replicável</w:t>
      </w:r>
    </w:p>
    <w:p w14:paraId="5ED301BC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Baseada em recomendações </w:t>
      </w:r>
      <w:r>
        <w:rPr>
          <w:rStyle w:val="Strong"/>
          <w:rFonts w:eastAsiaTheme="majorEastAsia"/>
        </w:rPr>
        <w:t>CIGRÉ</w:t>
      </w:r>
      <w:r>
        <w:t xml:space="preserve"> para cálculo de </w:t>
      </w:r>
      <w:r>
        <w:rPr>
          <w:rStyle w:val="Emphasis"/>
          <w:rFonts w:eastAsiaTheme="majorEastAsia"/>
        </w:rPr>
        <w:t>ratings</w:t>
      </w:r>
      <w:r>
        <w:t>.</w:t>
      </w:r>
    </w:p>
    <w:p w14:paraId="5FF66010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Uso do critério do </w:t>
      </w:r>
      <w:r>
        <w:rPr>
          <w:rStyle w:val="Strong"/>
          <w:rFonts w:eastAsiaTheme="majorEastAsia"/>
        </w:rPr>
        <w:t>15º dia mais quente em 15 anos</w:t>
      </w:r>
      <w:r>
        <w:t>, compatível com práticas reais de concessionárias.</w:t>
      </w:r>
    </w:p>
    <w:p w14:paraId="09D02CB1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Aplicação de </w:t>
      </w:r>
      <w:r>
        <w:rPr>
          <w:rStyle w:val="Emphasis"/>
          <w:rFonts w:eastAsiaTheme="majorEastAsia"/>
        </w:rPr>
        <w:t>delta-</w:t>
      </w:r>
      <w:proofErr w:type="spellStart"/>
      <w:r>
        <w:rPr>
          <w:rStyle w:val="Emphasis"/>
          <w:rFonts w:eastAsiaTheme="majorEastAsia"/>
        </w:rPr>
        <w:t>scaling</w:t>
      </w:r>
      <w:proofErr w:type="spellEnd"/>
      <w:r>
        <w:t xml:space="preserve"> para gerar séries futuras de temperatura.</w:t>
      </w:r>
    </w:p>
    <w:p w14:paraId="124F44D7" w14:textId="77777777" w:rsidR="006E0AA1" w:rsidRDefault="006E0AA1" w:rsidP="006E0AA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Resultados quantitativos robustos</w:t>
      </w:r>
    </w:p>
    <w:p w14:paraId="0610AAF9" w14:textId="77777777" w:rsidR="006E0AA1" w:rsidRDefault="006E0AA1" w:rsidP="006E0AA1">
      <w:pPr>
        <w:pStyle w:val="NormalWeb"/>
        <w:numPr>
          <w:ilvl w:val="1"/>
          <w:numId w:val="1"/>
        </w:numPr>
      </w:pPr>
      <w:r>
        <w:t>Redução média projetada da capacidade da rede (ponderada pelo comprimento das linhas):</w:t>
      </w:r>
    </w:p>
    <w:p w14:paraId="487BD525" w14:textId="77777777" w:rsidR="006E0AA1" w:rsidRDefault="006E0AA1" w:rsidP="006E0AA1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≈2,3% (RCP2.6)</w:t>
      </w:r>
      <w:r>
        <w:t>,</w:t>
      </w:r>
    </w:p>
    <w:p w14:paraId="51ACB93E" w14:textId="77777777" w:rsidR="006E0AA1" w:rsidRDefault="006E0AA1" w:rsidP="006E0AA1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≈3,5% (RCP4.5)</w:t>
      </w:r>
      <w:r>
        <w:t>,</w:t>
      </w:r>
    </w:p>
    <w:p w14:paraId="6A4B6054" w14:textId="77777777" w:rsidR="006E0AA1" w:rsidRDefault="006E0AA1" w:rsidP="006E0AA1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≈5,1% (RCP8.5)</w:t>
      </w:r>
      <w:r>
        <w:t xml:space="preserve"> até ~2078 (Fig. 4).</w:t>
      </w:r>
    </w:p>
    <w:p w14:paraId="68BB6A6D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Linhas com </w:t>
      </w:r>
      <w:r>
        <w:rPr>
          <w:rStyle w:val="Strong"/>
          <w:rFonts w:eastAsiaTheme="majorEastAsia"/>
        </w:rPr>
        <w:t>menor temperatura de projeto (85 °C)</w:t>
      </w:r>
      <w:r>
        <w:t xml:space="preserve"> são significativamente mais sensíveis:</w:t>
      </w:r>
    </w:p>
    <w:p w14:paraId="78EED7B9" w14:textId="77777777" w:rsidR="006E0AA1" w:rsidRDefault="006E0AA1" w:rsidP="006E0AA1">
      <w:pPr>
        <w:pStyle w:val="NormalWeb"/>
        <w:numPr>
          <w:ilvl w:val="2"/>
          <w:numId w:val="1"/>
        </w:numPr>
      </w:pPr>
      <w:r>
        <w:t>≈</w:t>
      </w:r>
      <w:r>
        <w:rPr>
          <w:rStyle w:val="Strong"/>
          <w:rFonts w:eastAsiaTheme="majorEastAsia"/>
        </w:rPr>
        <w:t>1,75% de redução por 1 °C</w:t>
      </w:r>
      <w:r>
        <w:t xml:space="preserve"> de aumento.</w:t>
      </w:r>
    </w:p>
    <w:p w14:paraId="7DD6C545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Evidencia forte dependência de </w:t>
      </w:r>
      <w:r>
        <w:rPr>
          <w:rStyle w:val="Strong"/>
          <w:rFonts w:eastAsiaTheme="majorEastAsia"/>
        </w:rPr>
        <w:t>localização geográfica</w:t>
      </w:r>
      <w:r>
        <w:t xml:space="preserve"> e </w:t>
      </w:r>
      <w:r>
        <w:rPr>
          <w:rStyle w:val="Strong"/>
          <w:rFonts w:eastAsiaTheme="majorEastAsia"/>
        </w:rPr>
        <w:t>tipo de projeto</w:t>
      </w:r>
      <w:r>
        <w:t>.</w:t>
      </w:r>
    </w:p>
    <w:p w14:paraId="335AEC04" w14:textId="77777777" w:rsidR="006E0AA1" w:rsidRDefault="006E0AA1" w:rsidP="006E0AA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Implicações operacionais e de resiliência</w:t>
      </w:r>
    </w:p>
    <w:p w14:paraId="421D2A59" w14:textId="77777777" w:rsidR="006E0AA1" w:rsidRDefault="006E0AA1" w:rsidP="006E0AA1">
      <w:pPr>
        <w:pStyle w:val="NormalWeb"/>
        <w:numPr>
          <w:ilvl w:val="1"/>
          <w:numId w:val="1"/>
        </w:numPr>
      </w:pPr>
      <w:r>
        <w:t xml:space="preserve">Mostra que mudanças climáticas afetam </w:t>
      </w:r>
      <w:r>
        <w:rPr>
          <w:rStyle w:val="Strong"/>
          <w:rFonts w:eastAsiaTheme="majorEastAsia"/>
        </w:rPr>
        <w:t>parâmetros estruturais permanentes</w:t>
      </w:r>
      <w:r>
        <w:t>, não apenas taxas de falha.</w:t>
      </w:r>
    </w:p>
    <w:p w14:paraId="73EE6A73" w14:textId="77777777" w:rsidR="006E0AA1" w:rsidRDefault="006E0AA1" w:rsidP="006E0AA1">
      <w:pPr>
        <w:pStyle w:val="NormalWeb"/>
        <w:numPr>
          <w:ilvl w:val="1"/>
          <w:numId w:val="1"/>
        </w:numPr>
      </w:pPr>
      <w:r>
        <w:t>Introduz medidas de adaptação:</w:t>
      </w:r>
    </w:p>
    <w:p w14:paraId="1C76C0FB" w14:textId="77777777" w:rsidR="006E0AA1" w:rsidRDefault="006E0AA1" w:rsidP="006E0AA1">
      <w:pPr>
        <w:pStyle w:val="NormalWeb"/>
        <w:numPr>
          <w:ilvl w:val="2"/>
          <w:numId w:val="1"/>
        </w:numPr>
      </w:pPr>
      <w:r>
        <w:t xml:space="preserve">reavaliação periódica de </w:t>
      </w:r>
      <w:r>
        <w:rPr>
          <w:rStyle w:val="Emphasis"/>
          <w:rFonts w:eastAsiaTheme="majorEastAsia"/>
        </w:rPr>
        <w:t>ratings</w:t>
      </w:r>
      <w:r>
        <w:t>;</w:t>
      </w:r>
    </w:p>
    <w:p w14:paraId="12D612C3" w14:textId="77777777" w:rsidR="006E0AA1" w:rsidRDefault="006E0AA1" w:rsidP="006E0AA1">
      <w:pPr>
        <w:pStyle w:val="NormalWeb"/>
        <w:numPr>
          <w:ilvl w:val="2"/>
          <w:numId w:val="1"/>
        </w:numPr>
      </w:pPr>
      <w:r>
        <w:t>revisão de critérios de projeto;</w:t>
      </w:r>
    </w:p>
    <w:p w14:paraId="399A7172" w14:textId="77777777" w:rsidR="006E0AA1" w:rsidRDefault="006E0AA1" w:rsidP="006E0AA1">
      <w:pPr>
        <w:pStyle w:val="NormalWeb"/>
        <w:numPr>
          <w:ilvl w:val="2"/>
          <w:numId w:val="1"/>
        </w:numPr>
      </w:pPr>
      <w:r>
        <w:t xml:space="preserve">uso de </w:t>
      </w:r>
      <w:proofErr w:type="spellStart"/>
      <w:r>
        <w:rPr>
          <w:rStyle w:val="Strong"/>
          <w:rFonts w:eastAsiaTheme="majorEastAsia"/>
        </w:rPr>
        <w:t>Dynamic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Line</w:t>
      </w:r>
      <w:proofErr w:type="spellEnd"/>
      <w:r>
        <w:rPr>
          <w:rStyle w:val="Strong"/>
          <w:rFonts w:eastAsiaTheme="majorEastAsia"/>
        </w:rPr>
        <w:t xml:space="preserve"> Rating (DLR)</w:t>
      </w:r>
      <w:r>
        <w:t xml:space="preserve"> como estratégia de mitigação.</w:t>
      </w:r>
    </w:p>
    <w:p w14:paraId="7CBDE6E8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BDF"/>
    <w:multiLevelType w:val="multilevel"/>
    <w:tmpl w:val="73C0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7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A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0AA1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2BD7"/>
  <w15:chartTrackingRefBased/>
  <w15:docId w15:val="{2E1EBAAF-7096-4ABE-A02D-949625DB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A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A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A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A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A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E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A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E0A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AA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E0AA1"/>
    <w:rPr>
      <w:b/>
      <w:bCs/>
    </w:rPr>
  </w:style>
  <w:style w:type="character" w:styleId="Emphasis">
    <w:name w:val="Emphasis"/>
    <w:basedOn w:val="DefaultParagraphFont"/>
    <w:uiPriority w:val="20"/>
    <w:qFormat/>
    <w:rsid w:val="006E0A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2025-12-31T16:55:00Z</dcterms:created>
  <dcterms:modified xsi:type="dcterms:W3CDTF">2025-12-31T16:57:00Z</dcterms:modified>
</cp:coreProperties>
</file>