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1C0A" w14:textId="568AF7DE" w:rsidR="00BF6009" w:rsidRDefault="00BF6009" w:rsidP="00BF6009">
      <w:pPr>
        <w:pStyle w:val="NormalWeb"/>
        <w:rPr>
          <w:lang w:val="en-US"/>
        </w:rPr>
      </w:pPr>
      <w:r w:rsidRPr="00BF6009">
        <w:rPr>
          <w:lang w:val="en-US"/>
        </w:rPr>
        <w:t>Resolution adopted by the General Assembly</w:t>
      </w:r>
    </w:p>
    <w:p w14:paraId="26F98B86" w14:textId="77777777" w:rsidR="00BF6009" w:rsidRPr="00BF6009" w:rsidRDefault="00BF6009" w:rsidP="00BF6009">
      <w:pPr>
        <w:pStyle w:val="NormalWeb"/>
        <w:rPr>
          <w:lang w:val="en-US"/>
        </w:rPr>
      </w:pPr>
    </w:p>
    <w:p w14:paraId="5DDCAF53" w14:textId="68B9CA9F" w:rsidR="00BF6009" w:rsidRDefault="00BF6009" w:rsidP="00BF6009">
      <w:pPr>
        <w:pStyle w:val="NormalWeb"/>
      </w:pPr>
      <w:r>
        <w:t xml:space="preserve">Trata-se de uma </w:t>
      </w:r>
      <w:r>
        <w:rPr>
          <w:rStyle w:val="Strong"/>
          <w:rFonts w:eastAsiaTheme="majorEastAsia"/>
        </w:rPr>
        <w:t>resolução normativa-institucional</w:t>
      </w:r>
      <w:r>
        <w:t xml:space="preserve"> da ONU que consolida a </w:t>
      </w:r>
      <w:proofErr w:type="spellStart"/>
      <w:r>
        <w:rPr>
          <w:rStyle w:val="Strong"/>
          <w:rFonts w:eastAsiaTheme="majorEastAsia"/>
        </w:rPr>
        <w:t>International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Strategy</w:t>
      </w:r>
      <w:proofErr w:type="spellEnd"/>
      <w:r>
        <w:rPr>
          <w:rStyle w:val="Strong"/>
          <w:rFonts w:eastAsiaTheme="majorEastAsia"/>
        </w:rPr>
        <w:t xml:space="preserve"> for </w:t>
      </w:r>
      <w:proofErr w:type="spellStart"/>
      <w:r>
        <w:rPr>
          <w:rStyle w:val="Strong"/>
          <w:rFonts w:eastAsiaTheme="majorEastAsia"/>
        </w:rPr>
        <w:t>Disaster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Reduction</w:t>
      </w:r>
      <w:proofErr w:type="spellEnd"/>
      <w:r>
        <w:rPr>
          <w:rStyle w:val="Strong"/>
          <w:rFonts w:eastAsiaTheme="majorEastAsia"/>
        </w:rPr>
        <w:t xml:space="preserve"> (ISDR)</w:t>
      </w:r>
      <w:r>
        <w:t>. O documento:</w:t>
      </w:r>
    </w:p>
    <w:p w14:paraId="763EF318" w14:textId="77777777" w:rsidR="00BF6009" w:rsidRDefault="00BF6009" w:rsidP="00BF600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Enquadra politicamente</w:t>
      </w:r>
      <w:r>
        <w:t xml:space="preserve"> a redução do risco de desastres como elemento do </w:t>
      </w:r>
      <w:r>
        <w:rPr>
          <w:rStyle w:val="Strong"/>
          <w:rFonts w:eastAsiaTheme="majorEastAsia"/>
        </w:rPr>
        <w:t>desenvolvimento sustentável</w:t>
      </w:r>
      <w:r>
        <w:t>;</w:t>
      </w:r>
    </w:p>
    <w:p w14:paraId="6800C7CB" w14:textId="77777777" w:rsidR="00BF6009" w:rsidRDefault="00BF6009" w:rsidP="00BF6009">
      <w:pPr>
        <w:pStyle w:val="NormalWeb"/>
        <w:numPr>
          <w:ilvl w:val="0"/>
          <w:numId w:val="1"/>
        </w:numPr>
      </w:pPr>
      <w:r>
        <w:t xml:space="preserve">Enfatiza </w:t>
      </w:r>
      <w:r>
        <w:rPr>
          <w:rStyle w:val="Strong"/>
          <w:rFonts w:eastAsiaTheme="majorEastAsia"/>
        </w:rPr>
        <w:t>avaliação de risco</w:t>
      </w:r>
      <w:r>
        <w:t xml:space="preserve">, </w:t>
      </w:r>
      <w:r>
        <w:rPr>
          <w:rStyle w:val="Strong"/>
          <w:rFonts w:eastAsiaTheme="majorEastAsia"/>
        </w:rPr>
        <w:t>redução de vulnerabilidades</w:t>
      </w:r>
      <w:r>
        <w:t xml:space="preserve">, </w:t>
      </w:r>
      <w:r>
        <w:rPr>
          <w:rStyle w:val="Strong"/>
          <w:rFonts w:eastAsiaTheme="majorEastAsia"/>
        </w:rPr>
        <w:t>alerta precoce</w:t>
      </w:r>
      <w:r>
        <w:t xml:space="preserve"> e </w:t>
      </w:r>
      <w:r>
        <w:rPr>
          <w:rStyle w:val="Strong"/>
          <w:rFonts w:eastAsiaTheme="majorEastAsia"/>
        </w:rPr>
        <w:t>coordenação interinstitucional</w:t>
      </w:r>
      <w:r>
        <w:t>;</w:t>
      </w:r>
    </w:p>
    <w:p w14:paraId="00FD9C21" w14:textId="77777777" w:rsidR="00BF6009" w:rsidRDefault="00BF6009" w:rsidP="00BF6009">
      <w:pPr>
        <w:pStyle w:val="NormalWeb"/>
        <w:numPr>
          <w:ilvl w:val="0"/>
          <w:numId w:val="1"/>
        </w:numPr>
      </w:pPr>
      <w:r>
        <w:t xml:space="preserve">Decide a realização da </w:t>
      </w:r>
      <w:proofErr w:type="spellStart"/>
      <w:r>
        <w:rPr>
          <w:rStyle w:val="Strong"/>
          <w:rFonts w:eastAsiaTheme="majorEastAsia"/>
        </w:rPr>
        <w:t>World</w:t>
      </w:r>
      <w:proofErr w:type="spellEnd"/>
      <w:r>
        <w:rPr>
          <w:rStyle w:val="Strong"/>
          <w:rFonts w:eastAsiaTheme="majorEastAsia"/>
        </w:rPr>
        <w:t xml:space="preserve"> Conference </w:t>
      </w:r>
      <w:proofErr w:type="spellStart"/>
      <w:r>
        <w:rPr>
          <w:rStyle w:val="Strong"/>
          <w:rFonts w:eastAsiaTheme="majorEastAsia"/>
        </w:rPr>
        <w:t>on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Disaster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Reduction</w:t>
      </w:r>
      <w:proofErr w:type="spellEnd"/>
      <w:r>
        <w:rPr>
          <w:rStyle w:val="Strong"/>
          <w:rFonts w:eastAsiaTheme="majorEastAsia"/>
        </w:rPr>
        <w:t xml:space="preserve"> (Kobe/</w:t>
      </w:r>
      <w:proofErr w:type="spellStart"/>
      <w:r>
        <w:rPr>
          <w:rStyle w:val="Strong"/>
          <w:rFonts w:eastAsiaTheme="majorEastAsia"/>
        </w:rPr>
        <w:t>Hyogo</w:t>
      </w:r>
      <w:proofErr w:type="spellEnd"/>
      <w:r>
        <w:rPr>
          <w:rStyle w:val="Strong"/>
          <w:rFonts w:eastAsiaTheme="majorEastAsia"/>
        </w:rPr>
        <w:t>, 2005)</w:t>
      </w:r>
      <w:r>
        <w:t xml:space="preserve">, que dará origem ao </w:t>
      </w:r>
      <w:proofErr w:type="spellStart"/>
      <w:r>
        <w:rPr>
          <w:rStyle w:val="Strong"/>
          <w:rFonts w:eastAsiaTheme="majorEastAsia"/>
        </w:rPr>
        <w:t>Hyogo</w:t>
      </w:r>
      <w:proofErr w:type="spellEnd"/>
      <w:r>
        <w:rPr>
          <w:rStyle w:val="Strong"/>
          <w:rFonts w:eastAsiaTheme="majorEastAsia"/>
        </w:rPr>
        <w:t xml:space="preserve"> Framework for </w:t>
      </w:r>
      <w:proofErr w:type="spellStart"/>
      <w:r>
        <w:rPr>
          <w:rStyle w:val="Strong"/>
          <w:rFonts w:eastAsiaTheme="majorEastAsia"/>
        </w:rPr>
        <w:t>Action</w:t>
      </w:r>
      <w:proofErr w:type="spellEnd"/>
      <w:r>
        <w:rPr>
          <w:rStyle w:val="Strong"/>
          <w:rFonts w:eastAsiaTheme="majorEastAsia"/>
        </w:rPr>
        <w:t xml:space="preserve"> (2005–2015)</w:t>
      </w:r>
      <w:r>
        <w:t>;</w:t>
      </w:r>
    </w:p>
    <w:p w14:paraId="1C5B4840" w14:textId="77777777" w:rsidR="00BF6009" w:rsidRDefault="00BF6009" w:rsidP="00BF6009">
      <w:pPr>
        <w:pStyle w:val="NormalWeb"/>
        <w:numPr>
          <w:ilvl w:val="0"/>
          <w:numId w:val="1"/>
        </w:numPr>
      </w:pPr>
      <w:r>
        <w:t xml:space="preserve">Não apresenta </w:t>
      </w:r>
      <w:r>
        <w:rPr>
          <w:rStyle w:val="Strong"/>
          <w:rFonts w:eastAsiaTheme="majorEastAsia"/>
        </w:rPr>
        <w:t>modelos</w:t>
      </w:r>
      <w:r>
        <w:t xml:space="preserve">, </w:t>
      </w:r>
      <w:r>
        <w:rPr>
          <w:rStyle w:val="Strong"/>
          <w:rFonts w:eastAsiaTheme="majorEastAsia"/>
        </w:rPr>
        <w:t>métricas</w:t>
      </w:r>
      <w:r>
        <w:t xml:space="preserve">, </w:t>
      </w:r>
      <w:r>
        <w:rPr>
          <w:rStyle w:val="Strong"/>
          <w:rFonts w:eastAsiaTheme="majorEastAsia"/>
        </w:rPr>
        <w:t>equações</w:t>
      </w:r>
      <w:r>
        <w:t xml:space="preserve"> ou </w:t>
      </w:r>
      <w:r>
        <w:rPr>
          <w:rStyle w:val="Strong"/>
          <w:rFonts w:eastAsiaTheme="majorEastAsia"/>
        </w:rPr>
        <w:t>aplicações técnicas</w:t>
      </w:r>
      <w:r>
        <w:t xml:space="preserve"> a infraestruturas específicas.</w:t>
      </w:r>
    </w:p>
    <w:p w14:paraId="7311D7BE" w14:textId="77777777" w:rsidR="00AC5231" w:rsidRDefault="00AC5231"/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860"/>
    <w:multiLevelType w:val="multilevel"/>
    <w:tmpl w:val="605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80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0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BF6009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30EB9"/>
  <w15:chartTrackingRefBased/>
  <w15:docId w15:val="{DA90AD8A-D707-438B-AF57-31E18105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0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0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0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0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0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F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0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F60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00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F60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532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2025-12-31T17:07:00Z</dcterms:created>
  <dcterms:modified xsi:type="dcterms:W3CDTF">2025-12-31T17:07:00Z</dcterms:modified>
</cp:coreProperties>
</file>