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245D" w14:textId="7A688A5C" w:rsidR="000B6EE0" w:rsidRPr="000B6EE0" w:rsidRDefault="000B6EE0" w:rsidP="000B6EE0">
      <w:pPr>
        <w:pStyle w:val="NormalWeb"/>
        <w:rPr>
          <w:lang w:val="en-US"/>
        </w:rPr>
      </w:pPr>
      <w:r w:rsidRPr="000B6EE0">
        <w:rPr>
          <w:lang w:val="en-US"/>
        </w:rPr>
        <w:t xml:space="preserve">Beyond Kobe-A Proactive Look at the </w:t>
      </w:r>
      <w:proofErr w:type="spellStart"/>
      <w:r w:rsidRPr="000B6EE0">
        <w:rPr>
          <w:lang w:val="en-US"/>
        </w:rPr>
        <w:t>Wold</w:t>
      </w:r>
      <w:proofErr w:type="spellEnd"/>
      <w:r w:rsidRPr="000B6EE0">
        <w:rPr>
          <w:lang w:val="en-US"/>
        </w:rPr>
        <w:t xml:space="preserve"> Conference on Disaster </w:t>
      </w:r>
      <w:proofErr w:type="spellStart"/>
      <w:r w:rsidRPr="000B6EE0">
        <w:rPr>
          <w:lang w:val="en-US"/>
        </w:rPr>
        <w:t>Redution</w:t>
      </w:r>
      <w:proofErr w:type="spellEnd"/>
    </w:p>
    <w:p w14:paraId="444EDB9B" w14:textId="470AF740" w:rsidR="000B6EE0" w:rsidRDefault="000B6EE0" w:rsidP="000B6EE0">
      <w:pPr>
        <w:pStyle w:val="NormalWeb"/>
      </w:pPr>
      <w:r>
        <w:t xml:space="preserve">Este documento é um </w:t>
      </w:r>
      <w:r>
        <w:rPr>
          <w:rStyle w:val="Strong"/>
          <w:rFonts w:eastAsiaTheme="majorEastAsia"/>
        </w:rPr>
        <w:t>relatório analítico-crítico</w:t>
      </w:r>
      <w:r>
        <w:t xml:space="preserve"> sobre a </w:t>
      </w:r>
      <w:proofErr w:type="spellStart"/>
      <w:r>
        <w:rPr>
          <w:rStyle w:val="Strong"/>
          <w:rFonts w:eastAsiaTheme="majorEastAsia"/>
        </w:rPr>
        <w:t>World</w:t>
      </w:r>
      <w:proofErr w:type="spellEnd"/>
      <w:r>
        <w:rPr>
          <w:rStyle w:val="Strong"/>
          <w:rFonts w:eastAsiaTheme="majorEastAsia"/>
        </w:rPr>
        <w:t xml:space="preserve"> Conference </w:t>
      </w:r>
      <w:proofErr w:type="spellStart"/>
      <w:r>
        <w:rPr>
          <w:rStyle w:val="Strong"/>
          <w:rFonts w:eastAsiaTheme="majorEastAsia"/>
        </w:rPr>
        <w:t>on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Disaster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Reduction</w:t>
      </w:r>
      <w:proofErr w:type="spellEnd"/>
      <w:r>
        <w:rPr>
          <w:rStyle w:val="Strong"/>
          <w:rFonts w:eastAsiaTheme="majorEastAsia"/>
        </w:rPr>
        <w:t xml:space="preserve"> (Kobe, 2005)</w:t>
      </w:r>
      <w:r>
        <w:t xml:space="preserve"> e sobre o </w:t>
      </w:r>
      <w:proofErr w:type="spellStart"/>
      <w:r>
        <w:rPr>
          <w:rStyle w:val="Strong"/>
          <w:rFonts w:eastAsiaTheme="majorEastAsia"/>
        </w:rPr>
        <w:t>Hyogo</w:t>
      </w:r>
      <w:proofErr w:type="spellEnd"/>
      <w:r>
        <w:rPr>
          <w:rStyle w:val="Strong"/>
          <w:rFonts w:eastAsiaTheme="majorEastAsia"/>
        </w:rPr>
        <w:t xml:space="preserve"> Framework for </w:t>
      </w:r>
      <w:proofErr w:type="spellStart"/>
      <w:r>
        <w:rPr>
          <w:rStyle w:val="Strong"/>
          <w:rFonts w:eastAsiaTheme="majorEastAsia"/>
        </w:rPr>
        <w:t>Action</w:t>
      </w:r>
      <w:proofErr w:type="spellEnd"/>
      <w:r>
        <w:rPr>
          <w:rStyle w:val="Strong"/>
          <w:rFonts w:eastAsiaTheme="majorEastAsia"/>
        </w:rPr>
        <w:t xml:space="preserve"> (HFA 2005–2015)</w:t>
      </w:r>
      <w:r>
        <w:t xml:space="preserve">. O foco é </w:t>
      </w:r>
      <w:r>
        <w:rPr>
          <w:rStyle w:val="Strong"/>
          <w:rFonts w:eastAsiaTheme="majorEastAsia"/>
        </w:rPr>
        <w:t>político-institucional e socioeconómico</w:t>
      </w:r>
      <w:r>
        <w:t>, não técnico-engenheiral.</w:t>
      </w:r>
    </w:p>
    <w:p w14:paraId="204B93F0" w14:textId="77777777" w:rsidR="000B6EE0" w:rsidRDefault="000B6EE0" w:rsidP="000B6EE0">
      <w:pPr>
        <w:pStyle w:val="NormalWeb"/>
      </w:pPr>
      <w:r>
        <w:t>Principais contributos:</w:t>
      </w:r>
    </w:p>
    <w:p w14:paraId="0E7734BC" w14:textId="77777777" w:rsidR="000B6EE0" w:rsidRDefault="000B6EE0" w:rsidP="000B6EE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Consolidação do conceito de resiliência no discurso internacional</w:t>
      </w:r>
    </w:p>
    <w:p w14:paraId="0E2EBBE9" w14:textId="77777777" w:rsidR="000B6EE0" w:rsidRDefault="000B6EE0" w:rsidP="000B6EE0">
      <w:pPr>
        <w:pStyle w:val="NormalWeb"/>
        <w:numPr>
          <w:ilvl w:val="1"/>
          <w:numId w:val="1"/>
        </w:numPr>
      </w:pPr>
      <w:r>
        <w:t xml:space="preserve">Adota explicitamente a definição da </w:t>
      </w:r>
      <w:r>
        <w:rPr>
          <w:rStyle w:val="Strong"/>
          <w:rFonts w:eastAsiaTheme="majorEastAsia"/>
        </w:rPr>
        <w:t>UN-ISDR</w:t>
      </w:r>
      <w:r>
        <w:t>, onde resiliência é a capacidade de resistir, adaptar-se e recuperar.</w:t>
      </w:r>
    </w:p>
    <w:p w14:paraId="31EB822F" w14:textId="77777777" w:rsidR="000B6EE0" w:rsidRDefault="000B6EE0" w:rsidP="000B6EE0">
      <w:pPr>
        <w:pStyle w:val="NormalWeb"/>
        <w:numPr>
          <w:ilvl w:val="1"/>
          <w:numId w:val="1"/>
        </w:numPr>
      </w:pPr>
      <w:r>
        <w:t xml:space="preserve">Relaciona resiliência com </w:t>
      </w:r>
      <w:r>
        <w:rPr>
          <w:rStyle w:val="Strong"/>
          <w:rFonts w:eastAsiaTheme="majorEastAsia"/>
        </w:rPr>
        <w:t>vulnerabilidade, capacidade adaptativa e governança</w:t>
      </w:r>
      <w:r>
        <w:t>.</w:t>
      </w:r>
    </w:p>
    <w:p w14:paraId="32EE02D1" w14:textId="77777777" w:rsidR="000B6EE0" w:rsidRDefault="000B6EE0" w:rsidP="000B6EE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Integração clima–desastre–desenvolvimento</w:t>
      </w:r>
    </w:p>
    <w:p w14:paraId="6FEED92D" w14:textId="77777777" w:rsidR="000B6EE0" w:rsidRDefault="000B6EE0" w:rsidP="000B6EE0">
      <w:pPr>
        <w:pStyle w:val="NormalWeb"/>
        <w:numPr>
          <w:ilvl w:val="1"/>
          <w:numId w:val="1"/>
        </w:numPr>
      </w:pPr>
      <w:r>
        <w:t xml:space="preserve">Reconhece que </w:t>
      </w:r>
      <w:r>
        <w:rPr>
          <w:rStyle w:val="Strong"/>
          <w:rFonts w:eastAsiaTheme="majorEastAsia"/>
        </w:rPr>
        <w:t>mudanças climáticas intensificam perigos</w:t>
      </w:r>
      <w:r>
        <w:t xml:space="preserve"> e </w:t>
      </w:r>
      <w:r>
        <w:rPr>
          <w:rStyle w:val="Strong"/>
          <w:rFonts w:eastAsiaTheme="majorEastAsia"/>
        </w:rPr>
        <w:t>enfraquecem a resiliência</w:t>
      </w:r>
      <w:r>
        <w:t xml:space="preserve"> de comunidades e infraestruturas.</w:t>
      </w:r>
    </w:p>
    <w:p w14:paraId="390E779A" w14:textId="77777777" w:rsidR="000B6EE0" w:rsidRDefault="000B6EE0" w:rsidP="000B6EE0">
      <w:pPr>
        <w:pStyle w:val="NormalWeb"/>
        <w:numPr>
          <w:ilvl w:val="1"/>
          <w:numId w:val="1"/>
        </w:numPr>
      </w:pPr>
      <w:r>
        <w:t>Introduz a noção de que adaptação climática e redução de risco devem ser tratadas de forma conjunta.</w:t>
      </w:r>
    </w:p>
    <w:p w14:paraId="7B0F2A48" w14:textId="77777777" w:rsidR="000B6EE0" w:rsidRDefault="000B6EE0" w:rsidP="000B6EE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Ênfase em políticas públicas, governança e indicadores</w:t>
      </w:r>
    </w:p>
    <w:p w14:paraId="0FD5F61C" w14:textId="77777777" w:rsidR="000B6EE0" w:rsidRDefault="000B6EE0" w:rsidP="000B6EE0">
      <w:pPr>
        <w:pStyle w:val="NormalWeb"/>
        <w:numPr>
          <w:ilvl w:val="1"/>
          <w:numId w:val="1"/>
        </w:numPr>
      </w:pPr>
      <w:r>
        <w:t>Discute metas, indicadores e monitorização do HFA.</w:t>
      </w:r>
    </w:p>
    <w:p w14:paraId="1E4F3DA8" w14:textId="77777777" w:rsidR="000B6EE0" w:rsidRDefault="000B6EE0" w:rsidP="000B6EE0">
      <w:pPr>
        <w:pStyle w:val="NormalWeb"/>
        <w:numPr>
          <w:ilvl w:val="1"/>
          <w:numId w:val="1"/>
        </w:numPr>
      </w:pPr>
      <w:r>
        <w:t xml:space="preserve">Aborda proteção de </w:t>
      </w:r>
      <w:r>
        <w:rPr>
          <w:rStyle w:val="Strong"/>
          <w:rFonts w:eastAsiaTheme="majorEastAsia"/>
        </w:rPr>
        <w:t>infraestruturas críticas</w:t>
      </w:r>
      <w:r>
        <w:t xml:space="preserve"> apenas em nível </w:t>
      </w:r>
      <w:r>
        <w:rPr>
          <w:rStyle w:val="Strong"/>
          <w:rFonts w:eastAsiaTheme="majorEastAsia"/>
        </w:rPr>
        <w:t>normativo e declaratório</w:t>
      </w:r>
      <w:r>
        <w:t>, sem modelagem.</w:t>
      </w:r>
    </w:p>
    <w:p w14:paraId="60FD1352" w14:textId="77777777" w:rsidR="000B6EE0" w:rsidRDefault="000B6EE0" w:rsidP="000B6EE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Ausência de formalismo técnico</w:t>
      </w:r>
    </w:p>
    <w:p w14:paraId="67DB20F4" w14:textId="77777777" w:rsidR="000B6EE0" w:rsidRDefault="000B6EE0" w:rsidP="000B6EE0">
      <w:pPr>
        <w:pStyle w:val="NormalWeb"/>
        <w:numPr>
          <w:ilvl w:val="1"/>
          <w:numId w:val="1"/>
        </w:numPr>
      </w:pPr>
      <w:r>
        <w:t>Não apresenta:</w:t>
      </w:r>
    </w:p>
    <w:p w14:paraId="5C8C2D9F" w14:textId="77777777" w:rsidR="000B6EE0" w:rsidRDefault="000B6EE0" w:rsidP="000B6EE0">
      <w:pPr>
        <w:pStyle w:val="NormalWeb"/>
        <w:numPr>
          <w:ilvl w:val="2"/>
          <w:numId w:val="1"/>
        </w:numPr>
      </w:pPr>
      <w:r>
        <w:t>modelos matemáticos,</w:t>
      </w:r>
    </w:p>
    <w:p w14:paraId="08BF05B5" w14:textId="77777777" w:rsidR="000B6EE0" w:rsidRDefault="000B6EE0" w:rsidP="000B6EE0">
      <w:pPr>
        <w:pStyle w:val="NormalWeb"/>
        <w:numPr>
          <w:ilvl w:val="2"/>
          <w:numId w:val="1"/>
        </w:numPr>
      </w:pPr>
      <w:r>
        <w:t>métricas quantitativas,</w:t>
      </w:r>
    </w:p>
    <w:p w14:paraId="234A952C" w14:textId="77777777" w:rsidR="000B6EE0" w:rsidRDefault="000B6EE0" w:rsidP="000B6EE0">
      <w:pPr>
        <w:pStyle w:val="NormalWeb"/>
        <w:numPr>
          <w:ilvl w:val="2"/>
          <w:numId w:val="1"/>
        </w:numPr>
      </w:pPr>
      <w:r>
        <w:t>curvas desempenho-tempo,</w:t>
      </w:r>
    </w:p>
    <w:p w14:paraId="7F497719" w14:textId="77777777" w:rsidR="000B6EE0" w:rsidRDefault="000B6EE0" w:rsidP="000B6EE0">
      <w:pPr>
        <w:pStyle w:val="NormalWeb"/>
        <w:numPr>
          <w:ilvl w:val="2"/>
          <w:numId w:val="1"/>
        </w:numPr>
      </w:pPr>
      <w:r>
        <w:t>aplicação a sistemas elétricos ou linhas de transmissão.</w:t>
      </w:r>
    </w:p>
    <w:p w14:paraId="406AEA2D" w14:textId="77777777" w:rsidR="000B6EE0" w:rsidRDefault="000B6EE0" w:rsidP="000B6EE0">
      <w:pPr>
        <w:pStyle w:val="NormalWeb"/>
        <w:numPr>
          <w:ilvl w:val="1"/>
          <w:numId w:val="1"/>
        </w:numPr>
      </w:pPr>
      <w:r>
        <w:t>Não é um trabalho de engenharia ou de sistemas.</w:t>
      </w:r>
    </w:p>
    <w:p w14:paraId="53C435ED" w14:textId="77777777" w:rsidR="00AC5231" w:rsidRDefault="00AC5231"/>
    <w:sectPr w:rsidR="00AC523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6402"/>
    <w:multiLevelType w:val="multilevel"/>
    <w:tmpl w:val="CA8E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87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E0"/>
    <w:rsid w:val="000131F2"/>
    <w:rsid w:val="00050A60"/>
    <w:rsid w:val="0007293B"/>
    <w:rsid w:val="0008424C"/>
    <w:rsid w:val="00096FFB"/>
    <w:rsid w:val="000B6EE0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C8F0F"/>
  <w15:chartTrackingRefBased/>
  <w15:docId w15:val="{58707472-18D3-440E-8109-D87B89F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E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E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E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E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E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B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E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B6E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EE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B6E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2025-12-31T17:08:00Z</dcterms:created>
  <dcterms:modified xsi:type="dcterms:W3CDTF">2025-12-31T17:09:00Z</dcterms:modified>
</cp:coreProperties>
</file>