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4E309" w14:textId="311F17A8" w:rsidR="00AC5231" w:rsidRDefault="00226285">
      <w:proofErr w:type="spellStart"/>
      <w:r w:rsidRPr="00226285">
        <w:t>Hyogo</w:t>
      </w:r>
      <w:proofErr w:type="spellEnd"/>
      <w:r w:rsidRPr="00226285">
        <w:t xml:space="preserve"> </w:t>
      </w:r>
      <w:proofErr w:type="spellStart"/>
      <w:r w:rsidRPr="00226285">
        <w:t>Declaration</w:t>
      </w:r>
      <w:proofErr w:type="spellEnd"/>
    </w:p>
    <w:p w14:paraId="28F2F149" w14:textId="77777777" w:rsidR="00226285" w:rsidRDefault="00226285"/>
    <w:p w14:paraId="767FB22A" w14:textId="77777777" w:rsidR="00226285" w:rsidRDefault="00226285" w:rsidP="00226285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 xml:space="preserve">Declaração de </w:t>
      </w:r>
      <w:proofErr w:type="spellStart"/>
      <w:r>
        <w:rPr>
          <w:rStyle w:val="Strong"/>
          <w:rFonts w:eastAsiaTheme="majorEastAsia"/>
        </w:rPr>
        <w:t>Hyogo</w:t>
      </w:r>
      <w:proofErr w:type="spellEnd"/>
      <w:r>
        <w:t xml:space="preserve"> é um </w:t>
      </w:r>
      <w:r>
        <w:rPr>
          <w:rStyle w:val="Strong"/>
          <w:rFonts w:eastAsiaTheme="majorEastAsia"/>
        </w:rPr>
        <w:t>documento político-institucional fundacional</w:t>
      </w:r>
      <w:r>
        <w:t xml:space="preserve"> que consolida a </w:t>
      </w:r>
      <w:r>
        <w:rPr>
          <w:rStyle w:val="Strong"/>
          <w:rFonts w:eastAsiaTheme="majorEastAsia"/>
        </w:rPr>
        <w:t>resiliência</w:t>
      </w:r>
      <w:r>
        <w:t xml:space="preserve"> como objetivo explícito das políticas globais de redução do risco de desastres, mas </w:t>
      </w:r>
      <w:r>
        <w:rPr>
          <w:rStyle w:val="Strong"/>
          <w:rFonts w:eastAsiaTheme="majorEastAsia"/>
        </w:rPr>
        <w:t>sem formalização técnica ou matemática</w:t>
      </w:r>
      <w:r>
        <w:t>.</w:t>
      </w:r>
    </w:p>
    <w:p w14:paraId="1BE2DDC9" w14:textId="77777777" w:rsidR="00226285" w:rsidRDefault="00226285" w:rsidP="00226285">
      <w:pPr>
        <w:pStyle w:val="NormalWeb"/>
      </w:pPr>
      <w:r>
        <w:t>Principais pontos:</w:t>
      </w:r>
    </w:p>
    <w:p w14:paraId="69632A7B" w14:textId="77777777" w:rsidR="00226285" w:rsidRDefault="00226285" w:rsidP="0022628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Resiliência como objetivo estratégico global</w:t>
      </w:r>
    </w:p>
    <w:p w14:paraId="1C618EF2" w14:textId="77777777" w:rsidR="00226285" w:rsidRPr="00226285" w:rsidRDefault="00226285" w:rsidP="00226285">
      <w:pPr>
        <w:pStyle w:val="NormalWeb"/>
        <w:numPr>
          <w:ilvl w:val="1"/>
          <w:numId w:val="1"/>
        </w:numPr>
        <w:rPr>
          <w:lang w:val="en-US"/>
        </w:rPr>
      </w:pPr>
      <w:proofErr w:type="spellStart"/>
      <w:r w:rsidRPr="00226285">
        <w:rPr>
          <w:lang w:val="en-US"/>
        </w:rPr>
        <w:t>Introduz</w:t>
      </w:r>
      <w:proofErr w:type="spellEnd"/>
      <w:r w:rsidRPr="00226285">
        <w:rPr>
          <w:lang w:val="en-US"/>
        </w:rPr>
        <w:t xml:space="preserve"> </w:t>
      </w:r>
      <w:proofErr w:type="spellStart"/>
      <w:r w:rsidRPr="00226285">
        <w:rPr>
          <w:lang w:val="en-US"/>
        </w:rPr>
        <w:t>explicitamente</w:t>
      </w:r>
      <w:proofErr w:type="spellEnd"/>
      <w:r w:rsidRPr="00226285">
        <w:rPr>
          <w:lang w:val="en-US"/>
        </w:rPr>
        <w:t xml:space="preserve"> o </w:t>
      </w:r>
      <w:proofErr w:type="spellStart"/>
      <w:r w:rsidRPr="00226285">
        <w:rPr>
          <w:lang w:val="en-US"/>
        </w:rPr>
        <w:t>conceito</w:t>
      </w:r>
      <w:proofErr w:type="spellEnd"/>
      <w:r w:rsidRPr="00226285">
        <w:rPr>
          <w:lang w:val="en-US"/>
        </w:rPr>
        <w:t xml:space="preserve"> de </w:t>
      </w:r>
      <w:r w:rsidRPr="00226285">
        <w:rPr>
          <w:rStyle w:val="Strong"/>
          <w:rFonts w:eastAsiaTheme="majorEastAsia"/>
          <w:lang w:val="en-US"/>
        </w:rPr>
        <w:t>“building the resilience of nations and communities”</w:t>
      </w:r>
      <w:r w:rsidRPr="00226285">
        <w:rPr>
          <w:lang w:val="en-US"/>
        </w:rPr>
        <w:t>.</w:t>
      </w:r>
    </w:p>
    <w:p w14:paraId="65B5A0B8" w14:textId="77777777" w:rsidR="00226285" w:rsidRDefault="00226285" w:rsidP="00226285">
      <w:pPr>
        <w:pStyle w:val="NormalWeb"/>
        <w:numPr>
          <w:ilvl w:val="1"/>
          <w:numId w:val="1"/>
        </w:numPr>
      </w:pPr>
      <w:r>
        <w:t>Enquadra resiliência como resultado de:</w:t>
      </w:r>
    </w:p>
    <w:p w14:paraId="03E3A5A3" w14:textId="77777777" w:rsidR="00226285" w:rsidRDefault="00226285" w:rsidP="00226285">
      <w:pPr>
        <w:pStyle w:val="NormalWeb"/>
        <w:numPr>
          <w:ilvl w:val="2"/>
          <w:numId w:val="1"/>
        </w:numPr>
      </w:pPr>
      <w:r>
        <w:t>prevenção,</w:t>
      </w:r>
    </w:p>
    <w:p w14:paraId="4F561C2E" w14:textId="77777777" w:rsidR="00226285" w:rsidRDefault="00226285" w:rsidP="00226285">
      <w:pPr>
        <w:pStyle w:val="NormalWeb"/>
        <w:numPr>
          <w:ilvl w:val="2"/>
          <w:numId w:val="1"/>
        </w:numPr>
      </w:pPr>
      <w:r>
        <w:t>preparação,</w:t>
      </w:r>
    </w:p>
    <w:p w14:paraId="3583F2DE" w14:textId="77777777" w:rsidR="00226285" w:rsidRDefault="00226285" w:rsidP="00226285">
      <w:pPr>
        <w:pStyle w:val="NormalWeb"/>
        <w:numPr>
          <w:ilvl w:val="2"/>
          <w:numId w:val="1"/>
        </w:numPr>
      </w:pPr>
      <w:r>
        <w:t>resposta,</w:t>
      </w:r>
    </w:p>
    <w:p w14:paraId="2209068B" w14:textId="77777777" w:rsidR="00226285" w:rsidRDefault="00226285" w:rsidP="00226285">
      <w:pPr>
        <w:pStyle w:val="NormalWeb"/>
        <w:numPr>
          <w:ilvl w:val="2"/>
          <w:numId w:val="1"/>
        </w:numPr>
      </w:pPr>
      <w:r>
        <w:t>recuperação e reabilitação (ciclo do desastre).</w:t>
      </w:r>
    </w:p>
    <w:p w14:paraId="4F4CB872" w14:textId="77777777" w:rsidR="00226285" w:rsidRDefault="00226285" w:rsidP="0022628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Integração risco–desenvolvimento</w:t>
      </w:r>
    </w:p>
    <w:p w14:paraId="4D4CBEDC" w14:textId="77777777" w:rsidR="00226285" w:rsidRDefault="00226285" w:rsidP="00226285">
      <w:pPr>
        <w:pStyle w:val="NormalWeb"/>
        <w:numPr>
          <w:ilvl w:val="1"/>
          <w:numId w:val="1"/>
        </w:numPr>
      </w:pPr>
      <w:r>
        <w:t>Afirma que desastres:</w:t>
      </w:r>
    </w:p>
    <w:p w14:paraId="1442E8C6" w14:textId="77777777" w:rsidR="00226285" w:rsidRDefault="00226285" w:rsidP="00226285">
      <w:pPr>
        <w:pStyle w:val="NormalWeb"/>
        <w:numPr>
          <w:ilvl w:val="2"/>
          <w:numId w:val="1"/>
        </w:numPr>
      </w:pPr>
      <w:r>
        <w:t>comprometem investimentos em desenvolvimento,</w:t>
      </w:r>
    </w:p>
    <w:p w14:paraId="65E8A827" w14:textId="77777777" w:rsidR="00226285" w:rsidRDefault="00226285" w:rsidP="00226285">
      <w:pPr>
        <w:pStyle w:val="NormalWeb"/>
        <w:numPr>
          <w:ilvl w:val="2"/>
          <w:numId w:val="1"/>
        </w:numPr>
      </w:pPr>
      <w:r>
        <w:t>ampliam vulnerabilidades,</w:t>
      </w:r>
    </w:p>
    <w:p w14:paraId="2987D129" w14:textId="77777777" w:rsidR="00226285" w:rsidRDefault="00226285" w:rsidP="00226285">
      <w:pPr>
        <w:pStyle w:val="NormalWeb"/>
        <w:numPr>
          <w:ilvl w:val="2"/>
          <w:numId w:val="1"/>
        </w:numPr>
      </w:pPr>
      <w:r>
        <w:t>exigem incorporação do risco nas políticas públicas.</w:t>
      </w:r>
    </w:p>
    <w:p w14:paraId="5A6FE86F" w14:textId="77777777" w:rsidR="00226285" w:rsidRDefault="00226285" w:rsidP="00226285">
      <w:pPr>
        <w:pStyle w:val="NormalWeb"/>
        <w:numPr>
          <w:ilvl w:val="1"/>
          <w:numId w:val="1"/>
        </w:numPr>
      </w:pPr>
      <w:r>
        <w:t xml:space="preserve">Conecta resiliência a </w:t>
      </w:r>
      <w:r>
        <w:rPr>
          <w:rStyle w:val="Strong"/>
          <w:rFonts w:eastAsiaTheme="majorEastAsia"/>
        </w:rPr>
        <w:t>sustentabilidade e erradicação da pobreza</w:t>
      </w:r>
      <w:r>
        <w:t>.</w:t>
      </w:r>
    </w:p>
    <w:p w14:paraId="1234E2AA" w14:textId="77777777" w:rsidR="00226285" w:rsidRDefault="00226285" w:rsidP="0022628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Ênfase em governança e capacidades</w:t>
      </w:r>
    </w:p>
    <w:p w14:paraId="11E83C4C" w14:textId="77777777" w:rsidR="00226285" w:rsidRDefault="00226285" w:rsidP="00226285">
      <w:pPr>
        <w:pStyle w:val="NormalWeb"/>
        <w:numPr>
          <w:ilvl w:val="1"/>
          <w:numId w:val="1"/>
        </w:numPr>
      </w:pPr>
      <w:r>
        <w:t>Responsabilidade primária dos Estados.</w:t>
      </w:r>
    </w:p>
    <w:p w14:paraId="155DED5A" w14:textId="77777777" w:rsidR="00226285" w:rsidRDefault="00226285" w:rsidP="00226285">
      <w:pPr>
        <w:pStyle w:val="NormalWeb"/>
        <w:numPr>
          <w:ilvl w:val="1"/>
          <w:numId w:val="1"/>
        </w:numPr>
      </w:pPr>
      <w:r>
        <w:t>Importância de:</w:t>
      </w:r>
    </w:p>
    <w:p w14:paraId="4F6762F2" w14:textId="77777777" w:rsidR="00226285" w:rsidRDefault="00226285" w:rsidP="00226285">
      <w:pPr>
        <w:pStyle w:val="NormalWeb"/>
        <w:numPr>
          <w:ilvl w:val="2"/>
          <w:numId w:val="1"/>
        </w:numPr>
      </w:pPr>
      <w:r>
        <w:t>avaliação de risco,</w:t>
      </w:r>
    </w:p>
    <w:p w14:paraId="4C4BC22B" w14:textId="77777777" w:rsidR="00226285" w:rsidRDefault="00226285" w:rsidP="00226285">
      <w:pPr>
        <w:pStyle w:val="NormalWeb"/>
        <w:numPr>
          <w:ilvl w:val="2"/>
          <w:numId w:val="1"/>
        </w:numPr>
      </w:pPr>
      <w:r>
        <w:t>alerta precoce,</w:t>
      </w:r>
    </w:p>
    <w:p w14:paraId="1164C6D0" w14:textId="77777777" w:rsidR="00226285" w:rsidRDefault="00226285" w:rsidP="00226285">
      <w:pPr>
        <w:pStyle w:val="NormalWeb"/>
        <w:numPr>
          <w:ilvl w:val="2"/>
          <w:numId w:val="1"/>
        </w:numPr>
      </w:pPr>
      <w:r>
        <w:t>capacitação institucional,</w:t>
      </w:r>
    </w:p>
    <w:p w14:paraId="622BCF36" w14:textId="77777777" w:rsidR="00226285" w:rsidRDefault="00226285" w:rsidP="00226285">
      <w:pPr>
        <w:pStyle w:val="NormalWeb"/>
        <w:numPr>
          <w:ilvl w:val="2"/>
          <w:numId w:val="1"/>
        </w:numPr>
      </w:pPr>
      <w:r>
        <w:t>cooperação internacional.</w:t>
      </w:r>
    </w:p>
    <w:p w14:paraId="45B9268E" w14:textId="77777777" w:rsidR="00226285" w:rsidRDefault="00226285" w:rsidP="00226285">
      <w:pPr>
        <w:pStyle w:val="NormalWeb"/>
        <w:numPr>
          <w:ilvl w:val="1"/>
          <w:numId w:val="1"/>
        </w:numPr>
      </w:pPr>
      <w:r>
        <w:t xml:space="preserve">Reconhece a necessidade de </w:t>
      </w:r>
      <w:r>
        <w:rPr>
          <w:rStyle w:val="Strong"/>
          <w:rFonts w:eastAsiaTheme="majorEastAsia"/>
        </w:rPr>
        <w:t>indicadores</w:t>
      </w:r>
      <w:r>
        <w:t xml:space="preserve">, mas </w:t>
      </w:r>
      <w:r>
        <w:rPr>
          <w:rStyle w:val="Strong"/>
          <w:rFonts w:eastAsiaTheme="majorEastAsia"/>
        </w:rPr>
        <w:t>não os define</w:t>
      </w:r>
      <w:r>
        <w:t>.</w:t>
      </w:r>
    </w:p>
    <w:p w14:paraId="6B08EA8D" w14:textId="77777777" w:rsidR="00226285" w:rsidRDefault="00226285" w:rsidP="0022628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Ausência de conteúdo técnico</w:t>
      </w:r>
    </w:p>
    <w:p w14:paraId="501B22AD" w14:textId="77777777" w:rsidR="00226285" w:rsidRDefault="00226285" w:rsidP="00226285">
      <w:pPr>
        <w:pStyle w:val="NormalWeb"/>
        <w:numPr>
          <w:ilvl w:val="1"/>
          <w:numId w:val="1"/>
        </w:numPr>
      </w:pPr>
      <w:r>
        <w:t>Não apresenta:</w:t>
      </w:r>
    </w:p>
    <w:p w14:paraId="3C0E1FA3" w14:textId="77777777" w:rsidR="00226285" w:rsidRDefault="00226285" w:rsidP="00226285">
      <w:pPr>
        <w:pStyle w:val="NormalWeb"/>
        <w:numPr>
          <w:ilvl w:val="2"/>
          <w:numId w:val="1"/>
        </w:numPr>
      </w:pPr>
      <w:r>
        <w:t>métricas quantitativas;</w:t>
      </w:r>
    </w:p>
    <w:p w14:paraId="04E0936D" w14:textId="77777777" w:rsidR="00226285" w:rsidRDefault="00226285" w:rsidP="00226285">
      <w:pPr>
        <w:pStyle w:val="NormalWeb"/>
        <w:numPr>
          <w:ilvl w:val="2"/>
          <w:numId w:val="1"/>
        </w:numPr>
      </w:pPr>
      <w:r>
        <w:t>modelos de falha ou recuperação;</w:t>
      </w:r>
    </w:p>
    <w:p w14:paraId="36845C98" w14:textId="77777777" w:rsidR="00226285" w:rsidRDefault="00226285" w:rsidP="00226285">
      <w:pPr>
        <w:pStyle w:val="NormalWeb"/>
        <w:numPr>
          <w:ilvl w:val="2"/>
          <w:numId w:val="1"/>
        </w:numPr>
      </w:pPr>
      <w:r>
        <w:t>aplicação a infraestruturas específicas (energia, transmissão).</w:t>
      </w:r>
    </w:p>
    <w:p w14:paraId="0EE0FC34" w14:textId="77777777" w:rsidR="00226285" w:rsidRDefault="00226285" w:rsidP="00226285">
      <w:pPr>
        <w:pStyle w:val="NormalWeb"/>
        <w:numPr>
          <w:ilvl w:val="1"/>
          <w:numId w:val="1"/>
        </w:numPr>
      </w:pPr>
      <w:r>
        <w:t>Linguagem normativa e declaratória.</w:t>
      </w:r>
    </w:p>
    <w:p w14:paraId="68DF6254" w14:textId="77777777" w:rsidR="00226285" w:rsidRDefault="00226285"/>
    <w:sectPr w:rsidR="0022628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D4F7E"/>
    <w:multiLevelType w:val="multilevel"/>
    <w:tmpl w:val="98102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37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28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26285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AA139"/>
  <w15:chartTrackingRefBased/>
  <w15:docId w15:val="{0C27DD64-9C4F-4741-BE81-9B0D230B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2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2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2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2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2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28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28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28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28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28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26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2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28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262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628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2262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2025-12-31T17:17:00Z</dcterms:created>
  <dcterms:modified xsi:type="dcterms:W3CDTF">2025-12-31T17:17:00Z</dcterms:modified>
</cp:coreProperties>
</file>