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E198" w14:textId="4136C063" w:rsidR="00AC5231" w:rsidRDefault="00A606F4">
      <w:pPr>
        <w:rPr>
          <w:lang w:val="en-US"/>
        </w:rPr>
      </w:pPr>
      <w:proofErr w:type="gramStart"/>
      <w:r w:rsidRPr="00A606F4">
        <w:rPr>
          <w:lang w:val="en-US"/>
        </w:rPr>
        <w:t>Focusing</w:t>
      </w:r>
      <w:proofErr w:type="gramEnd"/>
      <w:r w:rsidRPr="00A606F4">
        <w:rPr>
          <w:lang w:val="en-US"/>
        </w:rPr>
        <w:t xml:space="preserve"> the Meaning(s) of Resilience </w:t>
      </w:r>
      <w:proofErr w:type="spellStart"/>
      <w:r w:rsidRPr="00A606F4">
        <w:rPr>
          <w:lang w:val="en-US"/>
        </w:rPr>
        <w:t>Resilience</w:t>
      </w:r>
      <w:proofErr w:type="spellEnd"/>
      <w:r w:rsidRPr="00A606F4">
        <w:rPr>
          <w:lang w:val="en-US"/>
        </w:rPr>
        <w:t xml:space="preserve"> as a Descriptive Concept and a Boundary Object</w:t>
      </w:r>
    </w:p>
    <w:p w14:paraId="7172322D" w14:textId="77777777" w:rsidR="00A606F4" w:rsidRDefault="00A606F4">
      <w:pPr>
        <w:rPr>
          <w:lang w:val="en-US"/>
        </w:rPr>
      </w:pPr>
    </w:p>
    <w:p w14:paraId="7B140CD5" w14:textId="77777777" w:rsidR="00A606F4" w:rsidRDefault="00A606F4" w:rsidP="00A606F4">
      <w:pPr>
        <w:pStyle w:val="NormalWeb"/>
      </w:pPr>
      <w:r>
        <w:t xml:space="preserve">Este artigo é </w:t>
      </w:r>
      <w:r>
        <w:rPr>
          <w:rStyle w:val="Strong"/>
          <w:rFonts w:eastAsiaTheme="majorEastAsia"/>
        </w:rPr>
        <w:t>conceitualmente estruturante</w:t>
      </w:r>
      <w:r>
        <w:t xml:space="preserve"> para qualquer tese que trabalhe com </w:t>
      </w:r>
      <w:r>
        <w:rPr>
          <w:rStyle w:val="Strong"/>
          <w:rFonts w:eastAsiaTheme="majorEastAsia"/>
        </w:rPr>
        <w:t>resiliência de forma rigorosa</w:t>
      </w:r>
      <w:r>
        <w:t xml:space="preserve">, pois faz algo raro e essencial: </w:t>
      </w:r>
      <w:r>
        <w:rPr>
          <w:rStyle w:val="Strong"/>
          <w:rFonts w:eastAsiaTheme="majorEastAsia"/>
        </w:rPr>
        <w:t>organiza, critica e delimita o conceito de resiliência</w:t>
      </w:r>
      <w:r>
        <w:t>.</w:t>
      </w:r>
    </w:p>
    <w:p w14:paraId="4B3D4974" w14:textId="77777777" w:rsidR="00A606F4" w:rsidRDefault="00A606F4" w:rsidP="00A606F4">
      <w:pPr>
        <w:pStyle w:val="NormalWeb"/>
      </w:pPr>
      <w:r>
        <w:t>Principais contributos técnicos:</w:t>
      </w:r>
    </w:p>
    <w:p w14:paraId="0937CD92" w14:textId="77777777" w:rsidR="00A606F4" w:rsidRDefault="00A606F4" w:rsidP="00A606F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Tipologia formal das definições de resiliência</w:t>
      </w:r>
    </w:p>
    <w:p w14:paraId="3CD61921" w14:textId="77777777" w:rsidR="00A606F4" w:rsidRDefault="00A606F4" w:rsidP="00A606F4">
      <w:pPr>
        <w:pStyle w:val="NormalWeb"/>
        <w:numPr>
          <w:ilvl w:val="1"/>
          <w:numId w:val="1"/>
        </w:numPr>
      </w:pPr>
      <w:r>
        <w:t xml:space="preserve">Identifica </w:t>
      </w:r>
      <w:r>
        <w:rPr>
          <w:rStyle w:val="Strong"/>
          <w:rFonts w:eastAsiaTheme="majorEastAsia"/>
        </w:rPr>
        <w:t>10 definições</w:t>
      </w:r>
      <w:r>
        <w:t xml:space="preserve">, agrupadas em </w:t>
      </w:r>
      <w:r>
        <w:rPr>
          <w:rStyle w:val="Strong"/>
          <w:rFonts w:eastAsiaTheme="majorEastAsia"/>
        </w:rPr>
        <w:t>3 categorias</w:t>
      </w:r>
      <w:r>
        <w:t>:</w:t>
      </w:r>
    </w:p>
    <w:p w14:paraId="7C8EDE93" w14:textId="77777777" w:rsidR="00A606F4" w:rsidRDefault="00A606F4" w:rsidP="00A606F4">
      <w:pPr>
        <w:pStyle w:val="NormalWeb"/>
        <w:numPr>
          <w:ilvl w:val="2"/>
          <w:numId w:val="1"/>
        </w:numPr>
      </w:pPr>
      <w:r>
        <w:rPr>
          <w:rStyle w:val="Strong"/>
          <w:rFonts w:eastAsiaTheme="majorEastAsia"/>
        </w:rPr>
        <w:t>Descritiva</w:t>
      </w:r>
      <w:r>
        <w:t xml:space="preserve"> (ecológica, operacional, mensurável);</w:t>
      </w:r>
    </w:p>
    <w:p w14:paraId="0FFDBA92" w14:textId="77777777" w:rsidR="00A606F4" w:rsidRDefault="00A606F4" w:rsidP="00A606F4">
      <w:pPr>
        <w:pStyle w:val="NormalWeb"/>
        <w:numPr>
          <w:ilvl w:val="2"/>
          <w:numId w:val="1"/>
        </w:numPr>
      </w:pPr>
      <w:r>
        <w:rPr>
          <w:rStyle w:val="Strong"/>
          <w:rFonts w:eastAsiaTheme="majorEastAsia"/>
        </w:rPr>
        <w:t>Híbrida</w:t>
      </w:r>
      <w:r>
        <w:t xml:space="preserve"> (mistura descrição + normatividade);</w:t>
      </w:r>
    </w:p>
    <w:p w14:paraId="13EB2E9C" w14:textId="77777777" w:rsidR="00A606F4" w:rsidRDefault="00A606F4" w:rsidP="00A606F4">
      <w:pPr>
        <w:pStyle w:val="NormalWeb"/>
        <w:numPr>
          <w:ilvl w:val="2"/>
          <w:numId w:val="1"/>
        </w:numPr>
      </w:pPr>
      <w:r>
        <w:rPr>
          <w:rStyle w:val="Strong"/>
          <w:rFonts w:eastAsiaTheme="majorEastAsia"/>
        </w:rPr>
        <w:t>Normativa</w:t>
      </w:r>
      <w:r>
        <w:t xml:space="preserve"> (resiliência como valor desejável).</w:t>
      </w:r>
    </w:p>
    <w:p w14:paraId="4067D9A8" w14:textId="77777777" w:rsidR="00A606F4" w:rsidRDefault="00A606F4" w:rsidP="00A606F4">
      <w:pPr>
        <w:pStyle w:val="NormalWeb"/>
        <w:numPr>
          <w:ilvl w:val="1"/>
          <w:numId w:val="1"/>
        </w:numPr>
      </w:pPr>
      <w:r>
        <w:t xml:space="preserve">Essa tipologia (Tabela 1) é uma </w:t>
      </w:r>
      <w:r>
        <w:rPr>
          <w:rStyle w:val="Strong"/>
          <w:rFonts w:eastAsiaTheme="majorEastAsia"/>
        </w:rPr>
        <w:t>ferramenta conceitual poderosa</w:t>
      </w:r>
      <w:r>
        <w:t xml:space="preserve"> para evitar ambiguidades na tese.</w:t>
      </w:r>
    </w:p>
    <w:p w14:paraId="6B15EAB4" w14:textId="77777777" w:rsidR="00A606F4" w:rsidRDefault="00A606F4" w:rsidP="00A606F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Separação clara entre resiliência e estabilidade</w:t>
      </w:r>
    </w:p>
    <w:p w14:paraId="42D9F214" w14:textId="77777777" w:rsidR="00A606F4" w:rsidRDefault="00A606F4" w:rsidP="00A606F4">
      <w:pPr>
        <w:pStyle w:val="NormalWeb"/>
        <w:numPr>
          <w:ilvl w:val="1"/>
          <w:numId w:val="1"/>
        </w:numPr>
      </w:pPr>
      <w:r>
        <w:t>Reforça a distinção:</w:t>
      </w:r>
    </w:p>
    <w:p w14:paraId="3E28B851" w14:textId="77777777" w:rsidR="00A606F4" w:rsidRDefault="00A606F4" w:rsidP="00A606F4">
      <w:pPr>
        <w:pStyle w:val="NormalWeb"/>
        <w:numPr>
          <w:ilvl w:val="2"/>
          <w:numId w:val="1"/>
        </w:numPr>
      </w:pPr>
      <w:proofErr w:type="spellStart"/>
      <w:r>
        <w:rPr>
          <w:rStyle w:val="Emphasis"/>
          <w:rFonts w:eastAsiaTheme="majorEastAsia"/>
        </w:rPr>
        <w:t>Engineering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resilience</w:t>
      </w:r>
      <w:proofErr w:type="spellEnd"/>
      <w:r>
        <w:t xml:space="preserve"> (tempo de retorno, próximo ao equilíbrio);</w:t>
      </w:r>
    </w:p>
    <w:p w14:paraId="3B33C71B" w14:textId="77777777" w:rsidR="00A606F4" w:rsidRDefault="00A606F4" w:rsidP="00A606F4">
      <w:pPr>
        <w:pStyle w:val="NormalWeb"/>
        <w:numPr>
          <w:ilvl w:val="2"/>
          <w:numId w:val="1"/>
        </w:numPr>
      </w:pPr>
      <w:proofErr w:type="spellStart"/>
      <w:r>
        <w:rPr>
          <w:rStyle w:val="Emphasis"/>
          <w:rFonts w:eastAsiaTheme="majorEastAsia"/>
        </w:rPr>
        <w:t>Ecological</w:t>
      </w:r>
      <w:proofErr w:type="spellEnd"/>
      <w:r>
        <w:rPr>
          <w:rStyle w:val="Emphasis"/>
          <w:rFonts w:eastAsiaTheme="majorEastAsia"/>
        </w:rPr>
        <w:t>/</w:t>
      </w:r>
      <w:proofErr w:type="spellStart"/>
      <w:r>
        <w:rPr>
          <w:rStyle w:val="Emphasis"/>
          <w:rFonts w:eastAsiaTheme="majorEastAsia"/>
        </w:rPr>
        <w:t>system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resilience</w:t>
      </w:r>
      <w:proofErr w:type="spellEnd"/>
      <w:r>
        <w:t xml:space="preserve"> (capacidade de absorver perturbações antes de mudança de regime).</w:t>
      </w:r>
    </w:p>
    <w:p w14:paraId="4C6A1BD1" w14:textId="77777777" w:rsidR="00A606F4" w:rsidRDefault="00A606F4" w:rsidP="00A606F4">
      <w:pPr>
        <w:pStyle w:val="NormalWeb"/>
        <w:numPr>
          <w:ilvl w:val="1"/>
          <w:numId w:val="1"/>
        </w:numPr>
      </w:pPr>
      <w:r>
        <w:t xml:space="preserve">Consolida a herança direta de </w:t>
      </w:r>
      <w:proofErr w:type="spellStart"/>
      <w:r>
        <w:rPr>
          <w:rStyle w:val="Strong"/>
          <w:rFonts w:eastAsiaTheme="majorEastAsia"/>
        </w:rPr>
        <w:t>Holling</w:t>
      </w:r>
      <w:proofErr w:type="spellEnd"/>
      <w:r>
        <w:rPr>
          <w:rStyle w:val="Strong"/>
          <w:rFonts w:eastAsiaTheme="majorEastAsia"/>
        </w:rPr>
        <w:t xml:space="preserve"> (1973)</w:t>
      </w:r>
      <w:r>
        <w:t>, mas com refinamento crítico.</w:t>
      </w:r>
    </w:p>
    <w:p w14:paraId="1DBA05EE" w14:textId="77777777" w:rsidR="00A606F4" w:rsidRDefault="00A606F4" w:rsidP="00A606F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 xml:space="preserve">Resiliência como conceito descritivo </w:t>
      </w:r>
      <w:proofErr w:type="spellStart"/>
      <w:r>
        <w:rPr>
          <w:rStyle w:val="Strong"/>
          <w:rFonts w:eastAsiaTheme="majorEastAsia"/>
        </w:rPr>
        <w:t>operacionalizável</w:t>
      </w:r>
      <w:proofErr w:type="spellEnd"/>
    </w:p>
    <w:p w14:paraId="04824F9C" w14:textId="77777777" w:rsidR="00A606F4" w:rsidRDefault="00A606F4" w:rsidP="00A606F4">
      <w:pPr>
        <w:pStyle w:val="NormalWeb"/>
        <w:numPr>
          <w:ilvl w:val="1"/>
          <w:numId w:val="1"/>
        </w:numPr>
      </w:pPr>
      <w:r>
        <w:t>Introduz a exigência metodológica:</w:t>
      </w:r>
    </w:p>
    <w:p w14:paraId="1634C67A" w14:textId="77777777" w:rsidR="00A606F4" w:rsidRPr="00A606F4" w:rsidRDefault="00A606F4" w:rsidP="00A606F4">
      <w:pPr>
        <w:pStyle w:val="NormalWeb"/>
        <w:ind w:left="1440"/>
        <w:rPr>
          <w:lang w:val="en-US"/>
        </w:rPr>
      </w:pPr>
      <w:r w:rsidRPr="00A606F4">
        <w:rPr>
          <w:rStyle w:val="Strong"/>
          <w:rFonts w:eastAsiaTheme="majorEastAsia"/>
          <w:lang w:val="en-US"/>
        </w:rPr>
        <w:t>“Resilience of what, to what?”</w:t>
      </w:r>
    </w:p>
    <w:p w14:paraId="01AEEFA5" w14:textId="77777777" w:rsidR="00A606F4" w:rsidRDefault="00A606F4" w:rsidP="00A606F4">
      <w:pPr>
        <w:pStyle w:val="NormalWeb"/>
        <w:numPr>
          <w:ilvl w:val="1"/>
          <w:numId w:val="1"/>
        </w:numPr>
      </w:pPr>
      <w:r>
        <w:t xml:space="preserve">Defende que resiliência </w:t>
      </w:r>
      <w:r>
        <w:rPr>
          <w:rStyle w:val="Strong"/>
          <w:rFonts w:eastAsiaTheme="majorEastAsia"/>
        </w:rPr>
        <w:t>só é científica</w:t>
      </w:r>
      <w:r>
        <w:t xml:space="preserve"> quando:</w:t>
      </w:r>
    </w:p>
    <w:p w14:paraId="2F2C3EB2" w14:textId="77777777" w:rsidR="00A606F4" w:rsidRDefault="00A606F4" w:rsidP="00A606F4">
      <w:pPr>
        <w:pStyle w:val="NormalWeb"/>
        <w:numPr>
          <w:ilvl w:val="2"/>
          <w:numId w:val="1"/>
        </w:numPr>
      </w:pPr>
      <w:r>
        <w:t>o sistema é claramente definido;</w:t>
      </w:r>
    </w:p>
    <w:p w14:paraId="4F6DFD85" w14:textId="77777777" w:rsidR="00A606F4" w:rsidRDefault="00A606F4" w:rsidP="00A606F4">
      <w:pPr>
        <w:pStyle w:val="NormalWeb"/>
        <w:numPr>
          <w:ilvl w:val="2"/>
          <w:numId w:val="1"/>
        </w:numPr>
      </w:pPr>
      <w:r>
        <w:t>o tipo de perturbação é especificado;</w:t>
      </w:r>
    </w:p>
    <w:p w14:paraId="49A3B367" w14:textId="77777777" w:rsidR="00A606F4" w:rsidRDefault="00A606F4" w:rsidP="00A606F4">
      <w:pPr>
        <w:pStyle w:val="NormalWeb"/>
        <w:numPr>
          <w:ilvl w:val="2"/>
          <w:numId w:val="1"/>
        </w:numPr>
      </w:pPr>
      <w:r>
        <w:t xml:space="preserve">existem métricas observáveis (limiares, distâncias a </w:t>
      </w:r>
      <w:proofErr w:type="spellStart"/>
      <w:r>
        <w:t>thresholds</w:t>
      </w:r>
      <w:proofErr w:type="spellEnd"/>
      <w:r>
        <w:t>, etc.).</w:t>
      </w:r>
    </w:p>
    <w:p w14:paraId="28265953" w14:textId="77777777" w:rsidR="00A606F4" w:rsidRDefault="00A606F4" w:rsidP="00A606F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Crítica ao uso de resiliência como “</w:t>
      </w:r>
      <w:proofErr w:type="spellStart"/>
      <w:r>
        <w:rPr>
          <w:rStyle w:val="Strong"/>
          <w:rFonts w:eastAsiaTheme="majorEastAsia"/>
        </w:rPr>
        <w:t>boundary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object</w:t>
      </w:r>
      <w:proofErr w:type="spellEnd"/>
      <w:r>
        <w:rPr>
          <w:rStyle w:val="Strong"/>
          <w:rFonts w:eastAsiaTheme="majorEastAsia"/>
        </w:rPr>
        <w:t>”</w:t>
      </w:r>
    </w:p>
    <w:p w14:paraId="623D9600" w14:textId="77777777" w:rsidR="00A606F4" w:rsidRDefault="00A606F4" w:rsidP="00A606F4">
      <w:pPr>
        <w:pStyle w:val="NormalWeb"/>
        <w:numPr>
          <w:ilvl w:val="1"/>
          <w:numId w:val="1"/>
        </w:numPr>
      </w:pPr>
      <w:r>
        <w:t>Mostra que o uso excessivamente vago:</w:t>
      </w:r>
    </w:p>
    <w:p w14:paraId="6FB05776" w14:textId="77777777" w:rsidR="00A606F4" w:rsidRDefault="00A606F4" w:rsidP="00A606F4">
      <w:pPr>
        <w:pStyle w:val="NormalWeb"/>
        <w:numPr>
          <w:ilvl w:val="2"/>
          <w:numId w:val="1"/>
        </w:numPr>
      </w:pPr>
      <w:r>
        <w:t>dificulta a operacionalização;</w:t>
      </w:r>
    </w:p>
    <w:p w14:paraId="5B18456C" w14:textId="77777777" w:rsidR="00A606F4" w:rsidRDefault="00A606F4" w:rsidP="00A606F4">
      <w:pPr>
        <w:pStyle w:val="NormalWeb"/>
        <w:numPr>
          <w:ilvl w:val="2"/>
          <w:numId w:val="1"/>
        </w:numPr>
      </w:pPr>
      <w:r>
        <w:t>compromete comparações quantitativas;</w:t>
      </w:r>
    </w:p>
    <w:p w14:paraId="4D2C2E4E" w14:textId="77777777" w:rsidR="00A606F4" w:rsidRDefault="00A606F4" w:rsidP="00A606F4">
      <w:pPr>
        <w:pStyle w:val="NormalWeb"/>
        <w:numPr>
          <w:ilvl w:val="2"/>
          <w:numId w:val="1"/>
        </w:numPr>
      </w:pPr>
      <w:r>
        <w:t>enfraquece o rigor científico.</w:t>
      </w:r>
    </w:p>
    <w:p w14:paraId="32F939A8" w14:textId="77777777" w:rsidR="00A606F4" w:rsidRDefault="00A606F4" w:rsidP="00A606F4">
      <w:pPr>
        <w:pStyle w:val="NormalWeb"/>
        <w:numPr>
          <w:ilvl w:val="1"/>
          <w:numId w:val="1"/>
        </w:numPr>
      </w:pPr>
      <w:r>
        <w:t xml:space="preserve">Este ponto é </w:t>
      </w:r>
      <w:r>
        <w:rPr>
          <w:rStyle w:val="Strong"/>
          <w:rFonts w:eastAsiaTheme="majorEastAsia"/>
        </w:rPr>
        <w:t>diretamente alinhado</w:t>
      </w:r>
      <w:r>
        <w:t xml:space="preserve"> com o seu esforço de criar um </w:t>
      </w:r>
      <w:r>
        <w:rPr>
          <w:rStyle w:val="Strong"/>
          <w:rFonts w:eastAsiaTheme="majorEastAsia"/>
        </w:rPr>
        <w:t>índice simples, claro e mensurável</w:t>
      </w:r>
      <w:r>
        <w:t>.</w:t>
      </w:r>
    </w:p>
    <w:p w14:paraId="1E25BB46" w14:textId="77777777" w:rsidR="00A606F4" w:rsidRDefault="00A606F4" w:rsidP="00A606F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Base teórica para índices técnicos</w:t>
      </w:r>
    </w:p>
    <w:p w14:paraId="288E2CB8" w14:textId="77777777" w:rsidR="00A606F4" w:rsidRDefault="00A606F4" w:rsidP="00A606F4">
      <w:pPr>
        <w:pStyle w:val="NormalWeb"/>
        <w:numPr>
          <w:ilvl w:val="1"/>
          <w:numId w:val="1"/>
        </w:numPr>
      </w:pPr>
      <w:r>
        <w:t>O artigo legitima cientificamente a sua estratégia de:</w:t>
      </w:r>
    </w:p>
    <w:p w14:paraId="715662D6" w14:textId="77777777" w:rsidR="00A606F4" w:rsidRDefault="00A606F4" w:rsidP="00A606F4">
      <w:pPr>
        <w:pStyle w:val="NormalWeb"/>
        <w:numPr>
          <w:ilvl w:val="2"/>
          <w:numId w:val="1"/>
        </w:numPr>
      </w:pPr>
      <w:r>
        <w:t>restringir o conceito de resiliência;</w:t>
      </w:r>
    </w:p>
    <w:p w14:paraId="1A1A9D56" w14:textId="77777777" w:rsidR="00A606F4" w:rsidRDefault="00A606F4" w:rsidP="00A606F4">
      <w:pPr>
        <w:pStyle w:val="NormalWeb"/>
        <w:numPr>
          <w:ilvl w:val="2"/>
          <w:numId w:val="1"/>
        </w:numPr>
      </w:pPr>
      <w:r>
        <w:t>focar em dimensões técnicas;</w:t>
      </w:r>
    </w:p>
    <w:p w14:paraId="0A12ADCF" w14:textId="77777777" w:rsidR="00A606F4" w:rsidRDefault="00A606F4" w:rsidP="00A606F4">
      <w:pPr>
        <w:pStyle w:val="NormalWeb"/>
        <w:numPr>
          <w:ilvl w:val="2"/>
          <w:numId w:val="1"/>
        </w:numPr>
      </w:pPr>
      <w:r>
        <w:t>evitar misturas com governança, valores sociais ou políticas públicas no índice.</w:t>
      </w:r>
    </w:p>
    <w:p w14:paraId="0CBF55DF" w14:textId="77777777" w:rsidR="00A606F4" w:rsidRDefault="00A606F4"/>
    <w:p w14:paraId="01ABA48E" w14:textId="77777777" w:rsidR="00A606F4" w:rsidRPr="00A606F4" w:rsidRDefault="00A606F4"/>
    <w:sectPr w:rsidR="00A606F4" w:rsidRPr="00A606F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A1938"/>
    <w:multiLevelType w:val="multilevel"/>
    <w:tmpl w:val="6D1C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96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F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606F4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48BCC"/>
  <w15:chartTrackingRefBased/>
  <w15:docId w15:val="{9E479A57-3333-447B-9738-99E27606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6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6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6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6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6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6F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6F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6F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6F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6F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60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6F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606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06F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606F4"/>
    <w:rPr>
      <w:b/>
      <w:bCs/>
    </w:rPr>
  </w:style>
  <w:style w:type="character" w:styleId="Emphasis">
    <w:name w:val="Emphasis"/>
    <w:basedOn w:val="DefaultParagraphFont"/>
    <w:uiPriority w:val="20"/>
    <w:qFormat/>
    <w:rsid w:val="00A606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283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2025-12-31T17:22:00Z</dcterms:created>
  <dcterms:modified xsi:type="dcterms:W3CDTF">2025-12-31T17:25:00Z</dcterms:modified>
</cp:coreProperties>
</file>