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3D8D0" w14:textId="77777777" w:rsidR="00064017" w:rsidRDefault="00064017" w:rsidP="00064017">
      <w:proofErr w:type="spellStart"/>
      <w:r>
        <w:t>Título</w:t>
      </w:r>
      <w:proofErr w:type="spellEnd"/>
      <w:r>
        <w:t>: Framework for Analytical Quantification of Disaster Resilience</w:t>
      </w:r>
    </w:p>
    <w:p w14:paraId="3DDA425D" w14:textId="77777777" w:rsidR="00064017" w:rsidRDefault="00064017" w:rsidP="00064017"/>
    <w:p w14:paraId="1BD1A81D" w14:textId="77777777" w:rsidR="00064017" w:rsidRDefault="00064017" w:rsidP="00064017">
      <w:pPr>
        <w:rPr>
          <w:lang w:val="pt-BR"/>
        </w:rPr>
      </w:pPr>
      <w:r w:rsidRPr="00064017">
        <w:rPr>
          <w:lang w:val="pt-BR"/>
        </w:rPr>
        <w:t xml:space="preserve">Autores: Gian Paolo </w:t>
      </w:r>
      <w:proofErr w:type="spellStart"/>
      <w:r w:rsidRPr="00064017">
        <w:rPr>
          <w:lang w:val="pt-BR"/>
        </w:rPr>
        <w:t>Cimellaro</w:t>
      </w:r>
      <w:proofErr w:type="spellEnd"/>
      <w:r w:rsidRPr="00064017">
        <w:rPr>
          <w:lang w:val="pt-BR"/>
        </w:rPr>
        <w:t xml:space="preserve"> (</w:t>
      </w:r>
      <w:proofErr w:type="spellStart"/>
      <w:r w:rsidRPr="00064017">
        <w:rPr>
          <w:lang w:val="pt-BR"/>
        </w:rPr>
        <w:t>Politecnico</w:t>
      </w:r>
      <w:proofErr w:type="spellEnd"/>
      <w:r w:rsidRPr="00064017">
        <w:rPr>
          <w:lang w:val="pt-BR"/>
        </w:rPr>
        <w:t xml:space="preserve"> </w:t>
      </w:r>
      <w:proofErr w:type="spellStart"/>
      <w:r w:rsidRPr="00064017">
        <w:rPr>
          <w:lang w:val="pt-BR"/>
        </w:rPr>
        <w:t>di</w:t>
      </w:r>
      <w:proofErr w:type="spellEnd"/>
      <w:r w:rsidRPr="00064017">
        <w:rPr>
          <w:lang w:val="pt-BR"/>
        </w:rPr>
        <w:t xml:space="preserve"> Torino), Andrei M. </w:t>
      </w:r>
      <w:proofErr w:type="spellStart"/>
      <w:r w:rsidRPr="00064017">
        <w:rPr>
          <w:lang w:val="pt-BR"/>
        </w:rPr>
        <w:t>Reinhorn</w:t>
      </w:r>
      <w:proofErr w:type="spellEnd"/>
      <w:r w:rsidRPr="00064017">
        <w:rPr>
          <w:lang w:val="pt-BR"/>
        </w:rPr>
        <w:t xml:space="preserve"> e Michel </w:t>
      </w:r>
      <w:proofErr w:type="spellStart"/>
      <w:r w:rsidRPr="00064017">
        <w:rPr>
          <w:lang w:val="pt-BR"/>
        </w:rPr>
        <w:t>Bruneau</w:t>
      </w:r>
      <w:proofErr w:type="spellEnd"/>
      <w:r w:rsidRPr="00064017">
        <w:rPr>
          <w:lang w:val="pt-BR"/>
        </w:rPr>
        <w:t xml:space="preserve"> (</w:t>
      </w:r>
      <w:proofErr w:type="spellStart"/>
      <w:r w:rsidRPr="00064017">
        <w:rPr>
          <w:lang w:val="pt-BR"/>
        </w:rPr>
        <w:t>University</w:t>
      </w:r>
      <w:proofErr w:type="spellEnd"/>
      <w:r w:rsidRPr="00064017">
        <w:rPr>
          <w:lang w:val="pt-BR"/>
        </w:rPr>
        <w:t xml:space="preserve"> </w:t>
      </w:r>
      <w:proofErr w:type="spellStart"/>
      <w:r w:rsidRPr="00064017">
        <w:rPr>
          <w:lang w:val="pt-BR"/>
        </w:rPr>
        <w:t>at</w:t>
      </w:r>
      <w:proofErr w:type="spellEnd"/>
      <w:r w:rsidRPr="00064017">
        <w:rPr>
          <w:lang w:val="pt-BR"/>
        </w:rPr>
        <w:t xml:space="preserve"> Buffalo, SUNY)</w:t>
      </w:r>
    </w:p>
    <w:p w14:paraId="5BD3E511" w14:textId="77777777" w:rsidR="00064017" w:rsidRPr="00064017" w:rsidRDefault="00064017" w:rsidP="00064017">
      <w:pPr>
        <w:rPr>
          <w:lang w:val="pt-BR"/>
        </w:rPr>
      </w:pPr>
    </w:p>
    <w:p w14:paraId="552B2073" w14:textId="77777777" w:rsidR="00064017" w:rsidRDefault="00064017" w:rsidP="00064017">
      <w:proofErr w:type="spellStart"/>
      <w:r>
        <w:t>Publicado</w:t>
      </w:r>
      <w:proofErr w:type="spellEnd"/>
      <w:r>
        <w:t xml:space="preserve"> </w:t>
      </w:r>
      <w:proofErr w:type="spellStart"/>
      <w:r>
        <w:t>em</w:t>
      </w:r>
      <w:proofErr w:type="spellEnd"/>
      <w:r>
        <w:t>: Engineering Structures, Vol. 32, 2010, pp. 3639–3649</w:t>
      </w:r>
    </w:p>
    <w:p w14:paraId="7BE85F43" w14:textId="77777777" w:rsidR="00064017" w:rsidRDefault="00064017" w:rsidP="00064017"/>
    <w:p w14:paraId="7288B34A" w14:textId="6979ACD5" w:rsidR="00064017" w:rsidRPr="00064017" w:rsidRDefault="00064017" w:rsidP="00064017">
      <w:pPr>
        <w:rPr>
          <w:lang w:val="pt-BR"/>
        </w:rPr>
      </w:pPr>
      <w:r w:rsidRPr="00064017">
        <w:rPr>
          <w:lang w:val="pt-BR"/>
        </w:rPr>
        <w:t>Resumo do Abstract</w:t>
      </w:r>
    </w:p>
    <w:p w14:paraId="01532415" w14:textId="77777777" w:rsidR="00064017" w:rsidRDefault="00064017" w:rsidP="00064017">
      <w:pPr>
        <w:rPr>
          <w:lang w:val="pt-BR"/>
        </w:rPr>
      </w:pPr>
      <w:r w:rsidRPr="00064017">
        <w:rPr>
          <w:lang w:val="pt-BR"/>
        </w:rPr>
        <w:t>O artigo propõe um modelo analítico para quantificação da resiliência a desastres, com aplicação específica a hospitais submetidos a terremotos. A metodologia baseia-se em funções analíticas adimensionais que descrevem a funcionalidade do sistema ao longo do tempo, incluindo perdas diretas, indiretas e o processo de recuperação. A resiliência é tratada como uma propriedade multifacetada, integrando dimensões técnicas, sociais e organizacionais. A proposta é validada com dois estudos de caso: um hospital individual na Califórnia e uma rede hospitalar em Memphis, EUA.</w:t>
      </w:r>
    </w:p>
    <w:p w14:paraId="1469F814" w14:textId="77777777" w:rsidR="00064017" w:rsidRPr="00064017" w:rsidRDefault="00064017" w:rsidP="00064017">
      <w:pPr>
        <w:rPr>
          <w:lang w:val="pt-BR"/>
        </w:rPr>
      </w:pPr>
    </w:p>
    <w:p w14:paraId="6D9BF964" w14:textId="1AD09389" w:rsidR="00064017" w:rsidRPr="00064017" w:rsidRDefault="00064017" w:rsidP="00064017">
      <w:pPr>
        <w:rPr>
          <w:lang w:val="pt-BR"/>
        </w:rPr>
      </w:pPr>
      <w:r w:rsidRPr="00064017">
        <w:rPr>
          <w:lang w:val="pt-BR"/>
        </w:rPr>
        <w:t>Introdução</w:t>
      </w:r>
    </w:p>
    <w:p w14:paraId="13BB6146" w14:textId="77777777" w:rsidR="00064017" w:rsidRDefault="00064017" w:rsidP="00064017">
      <w:pPr>
        <w:rPr>
          <w:lang w:val="pt-BR"/>
        </w:rPr>
      </w:pPr>
      <w:r w:rsidRPr="00064017">
        <w:rPr>
          <w:lang w:val="pt-BR"/>
        </w:rPr>
        <w:t xml:space="preserve">Os autores contextualizam o conceito de resiliência em desastres como uma evolução necessária diante do aumento de eventos extremos. Destacam a carência de definições quantitativas robustas e a necessidade de uma estrutura unificada para aplicação prática. Inspirado nos conceitos de vulnerabilidade, recuperação e robustez, o trabalho parte da base conceitual de </w:t>
      </w:r>
      <w:proofErr w:type="spellStart"/>
      <w:r w:rsidRPr="00064017">
        <w:rPr>
          <w:lang w:val="pt-BR"/>
        </w:rPr>
        <w:t>Bruneau</w:t>
      </w:r>
      <w:proofErr w:type="spellEnd"/>
      <w:r w:rsidRPr="00064017">
        <w:rPr>
          <w:lang w:val="pt-BR"/>
        </w:rPr>
        <w:t xml:space="preserve"> et al. (2003), ampliando com foco quantitativo.</w:t>
      </w:r>
    </w:p>
    <w:p w14:paraId="2011F013" w14:textId="77777777" w:rsidR="00064017" w:rsidRPr="00064017" w:rsidRDefault="00064017" w:rsidP="00064017">
      <w:pPr>
        <w:rPr>
          <w:lang w:val="pt-BR"/>
        </w:rPr>
      </w:pPr>
    </w:p>
    <w:p w14:paraId="168F87AF" w14:textId="65D98410" w:rsidR="00064017" w:rsidRPr="00064017" w:rsidRDefault="00064017" w:rsidP="00064017">
      <w:pPr>
        <w:rPr>
          <w:lang w:val="pt-BR"/>
        </w:rPr>
      </w:pPr>
      <w:r w:rsidRPr="00064017">
        <w:rPr>
          <w:lang w:val="pt-BR"/>
        </w:rPr>
        <w:t>Metodologia Detalhada</w:t>
      </w:r>
    </w:p>
    <w:p w14:paraId="1B550278" w14:textId="77777777" w:rsidR="00064017" w:rsidRDefault="00064017" w:rsidP="00064017">
      <w:pPr>
        <w:rPr>
          <w:lang w:val="pt-BR"/>
        </w:rPr>
      </w:pPr>
      <w:r w:rsidRPr="00064017">
        <w:rPr>
          <w:lang w:val="pt-BR"/>
        </w:rPr>
        <w:t xml:space="preserve">A resiliência é definida como a área normalizada sob a curva de funcionalidade Q(t), medida ao longo do tempo de controle TLC. A função Q(t) depende das perdas </w:t>
      </w:r>
      <w:proofErr w:type="gramStart"/>
      <w:r w:rsidRPr="00064017">
        <w:rPr>
          <w:lang w:val="pt-BR"/>
        </w:rPr>
        <w:t>L(</w:t>
      </w:r>
      <w:proofErr w:type="gramEnd"/>
      <w:r w:rsidRPr="00064017">
        <w:rPr>
          <w:lang w:val="pt-BR"/>
        </w:rPr>
        <w:t xml:space="preserve">I, TRE), do tempo de recuperação TRE e de uma função de recuperação </w:t>
      </w:r>
      <w:proofErr w:type="spellStart"/>
      <w:r w:rsidRPr="00064017">
        <w:rPr>
          <w:lang w:val="pt-BR"/>
        </w:rPr>
        <w:t>f_rec</w:t>
      </w:r>
      <w:proofErr w:type="spellEnd"/>
      <w:r w:rsidRPr="00064017">
        <w:rPr>
          <w:lang w:val="pt-BR"/>
        </w:rPr>
        <w:t>(t). São introduzidas quatro dimensões principais: Robustez, Rapidez, Redundância e Capacidade de Recursos (R4). O modelo incorpora: (i) funções de perdas diretas e indiretas (econômicas e humanas), (</w:t>
      </w:r>
      <w:proofErr w:type="spellStart"/>
      <w:r w:rsidRPr="00064017">
        <w:rPr>
          <w:lang w:val="pt-BR"/>
        </w:rPr>
        <w:t>ii</w:t>
      </w:r>
      <w:proofErr w:type="spellEnd"/>
      <w:r w:rsidRPr="00064017">
        <w:rPr>
          <w:lang w:val="pt-BR"/>
        </w:rPr>
        <w:t>) modelos simplificados de recuperação (linear, exponencial, trigonométrica) e (</w:t>
      </w:r>
      <w:proofErr w:type="spellStart"/>
      <w:r w:rsidRPr="00064017">
        <w:rPr>
          <w:lang w:val="pt-BR"/>
        </w:rPr>
        <w:t>iii</w:t>
      </w:r>
      <w:proofErr w:type="spellEnd"/>
      <w:r w:rsidRPr="00064017">
        <w:rPr>
          <w:lang w:val="pt-BR"/>
        </w:rPr>
        <w:t>) funções de fragilidade multidimensional com base em curvas de retorno sísmico.</w:t>
      </w:r>
    </w:p>
    <w:p w14:paraId="424B4588" w14:textId="77777777" w:rsidR="00064017" w:rsidRPr="00064017" w:rsidRDefault="00064017" w:rsidP="00064017">
      <w:pPr>
        <w:rPr>
          <w:lang w:val="pt-BR"/>
        </w:rPr>
      </w:pPr>
    </w:p>
    <w:p w14:paraId="274C6A6C" w14:textId="1CEAB8FB" w:rsidR="00064017" w:rsidRPr="00064017" w:rsidRDefault="00064017" w:rsidP="00064017">
      <w:pPr>
        <w:rPr>
          <w:lang w:val="pt-BR"/>
        </w:rPr>
      </w:pPr>
      <w:r w:rsidRPr="00064017">
        <w:rPr>
          <w:lang w:val="pt-BR"/>
        </w:rPr>
        <w:t>Resultados</w:t>
      </w:r>
    </w:p>
    <w:p w14:paraId="399B66E2" w14:textId="77777777" w:rsidR="00064017" w:rsidRPr="00064017" w:rsidRDefault="00064017" w:rsidP="00064017">
      <w:pPr>
        <w:rPr>
          <w:lang w:val="pt-BR"/>
        </w:rPr>
      </w:pPr>
      <w:r w:rsidRPr="00064017">
        <w:rPr>
          <w:lang w:val="pt-BR"/>
        </w:rPr>
        <w:t>Dois estudos de caso ilustram a aplicação do método:</w:t>
      </w:r>
    </w:p>
    <w:p w14:paraId="19C6C80B" w14:textId="77777777" w:rsidR="00064017" w:rsidRPr="00064017" w:rsidRDefault="00064017" w:rsidP="00064017">
      <w:pPr>
        <w:rPr>
          <w:lang w:val="pt-BR"/>
        </w:rPr>
      </w:pPr>
      <w:r w:rsidRPr="00064017">
        <w:rPr>
          <w:lang w:val="pt-BR"/>
        </w:rPr>
        <w:t xml:space="preserve">• Estudo 1 – Hospital na Califórnia: Análise dinâmica com 100 simulações sísmicas. Foram comparadas quatro estratégias de </w:t>
      </w:r>
      <w:proofErr w:type="spellStart"/>
      <w:r w:rsidRPr="00064017">
        <w:rPr>
          <w:lang w:val="pt-BR"/>
        </w:rPr>
        <w:t>retrofit</w:t>
      </w:r>
      <w:proofErr w:type="spellEnd"/>
      <w:r w:rsidRPr="00064017">
        <w:rPr>
          <w:lang w:val="pt-BR"/>
        </w:rPr>
        <w:t xml:space="preserve"> (MRF, BRB, SW, </w:t>
      </w:r>
      <w:proofErr w:type="spellStart"/>
      <w:r w:rsidRPr="00064017">
        <w:rPr>
          <w:lang w:val="pt-BR"/>
        </w:rPr>
        <w:t>WeD</w:t>
      </w:r>
      <w:proofErr w:type="spellEnd"/>
      <w:r w:rsidRPr="00064017">
        <w:rPr>
          <w:lang w:val="pt-BR"/>
        </w:rPr>
        <w:t xml:space="preserve">). A estratégia </w:t>
      </w:r>
      <w:proofErr w:type="spellStart"/>
      <w:r w:rsidRPr="00064017">
        <w:rPr>
          <w:lang w:val="pt-BR"/>
        </w:rPr>
        <w:t>WeD</w:t>
      </w:r>
      <w:proofErr w:type="spellEnd"/>
      <w:r w:rsidRPr="00064017">
        <w:rPr>
          <w:lang w:val="pt-BR"/>
        </w:rPr>
        <w:t xml:space="preserve"> apresentou maior resiliência final (91.03%) e menor perda total.</w:t>
      </w:r>
    </w:p>
    <w:p w14:paraId="79F4FC99" w14:textId="77777777" w:rsidR="00064017" w:rsidRPr="00064017" w:rsidRDefault="00064017" w:rsidP="00064017">
      <w:pPr>
        <w:rPr>
          <w:lang w:val="pt-BR"/>
        </w:rPr>
      </w:pPr>
      <w:r w:rsidRPr="00064017">
        <w:rPr>
          <w:lang w:val="pt-BR"/>
        </w:rPr>
        <w:t xml:space="preserve">• Estudo 2 – Rede hospitalar em Memphis: Avaliação de 6 edifícios com diferentes níveis de reforço sísmico (FEMA 276). O </w:t>
      </w:r>
      <w:proofErr w:type="spellStart"/>
      <w:r w:rsidRPr="00064017">
        <w:rPr>
          <w:lang w:val="pt-BR"/>
        </w:rPr>
        <w:t>retrofit</w:t>
      </w:r>
      <w:proofErr w:type="spellEnd"/>
      <w:r w:rsidRPr="00064017">
        <w:rPr>
          <w:lang w:val="pt-BR"/>
        </w:rPr>
        <w:t xml:space="preserve"> para 'ocupação imediata' e 'reconstrução' apresentou resiliência superior (96.8% e 98.7%, respectivamente).</w:t>
      </w:r>
    </w:p>
    <w:p w14:paraId="468B7909" w14:textId="3F6CB7AA" w:rsidR="00064017" w:rsidRPr="00064017" w:rsidRDefault="00064017" w:rsidP="00064017">
      <w:pPr>
        <w:rPr>
          <w:lang w:val="pt-BR"/>
        </w:rPr>
      </w:pPr>
      <w:r w:rsidRPr="00064017">
        <w:rPr>
          <w:lang w:val="pt-BR"/>
        </w:rPr>
        <w:lastRenderedPageBreak/>
        <w:t>Discussão Aprofundada</w:t>
      </w:r>
    </w:p>
    <w:p w14:paraId="6FAF270F" w14:textId="77777777" w:rsidR="00064017" w:rsidRDefault="00064017" w:rsidP="00064017">
      <w:pPr>
        <w:rPr>
          <w:lang w:val="pt-BR"/>
        </w:rPr>
      </w:pPr>
      <w:r w:rsidRPr="00064017">
        <w:rPr>
          <w:lang w:val="pt-BR"/>
        </w:rPr>
        <w:t>O trabalho destaca a importância de integrar fragilidade estrutural, tempo de recuperação e impacto funcional para uma avaliação abrangente da resiliência. A abordagem proposta difere das métricas de perda tradicionais por incorporar variabilidade temporal e espacial. A inclusão de modelos de recuperação com diferentes perfis torna a ferramenta mais próxima da realidade operacional. Os autores também introduzem uma analogia mecânica para modelar o comportamento dinâmico de recuperação.</w:t>
      </w:r>
    </w:p>
    <w:p w14:paraId="3FE4403F" w14:textId="77777777" w:rsidR="00064017" w:rsidRPr="00064017" w:rsidRDefault="00064017" w:rsidP="00064017">
      <w:pPr>
        <w:rPr>
          <w:lang w:val="pt-BR"/>
        </w:rPr>
      </w:pPr>
    </w:p>
    <w:p w14:paraId="2D7A4DA8" w14:textId="0A83063F" w:rsidR="00064017" w:rsidRPr="00064017" w:rsidRDefault="00064017" w:rsidP="00064017">
      <w:pPr>
        <w:rPr>
          <w:lang w:val="pt-BR"/>
        </w:rPr>
      </w:pPr>
      <w:r w:rsidRPr="00064017">
        <w:rPr>
          <w:lang w:val="pt-BR"/>
        </w:rPr>
        <w:t>Conclusão Crítica</w:t>
      </w:r>
    </w:p>
    <w:p w14:paraId="4801EC64" w14:textId="77777777" w:rsidR="00064017" w:rsidRDefault="00064017" w:rsidP="00064017">
      <w:pPr>
        <w:rPr>
          <w:lang w:val="pt-BR"/>
        </w:rPr>
      </w:pPr>
      <w:r w:rsidRPr="00064017">
        <w:rPr>
          <w:lang w:val="pt-BR"/>
        </w:rPr>
        <w:t>O artigo representa um marco na transição de conceitos qualitativos para métricas quantitativas de resiliência a desastres. A formulação matemática da resiliência como integral da funcionalidade é sólida e aplicável a múltiplos setores. Contudo, a aplicação prática requer coleta de dados detalhados, modelagem de incertezas e calibração dos modelos de recuperação. O método se destaca por fornecer suporte objetivo à tomada de decisão em engenharia, planejamento urbano e políticas públicas.</w:t>
      </w:r>
    </w:p>
    <w:p w14:paraId="337AB80F" w14:textId="77777777" w:rsidR="00064017" w:rsidRPr="00064017" w:rsidRDefault="00064017" w:rsidP="00064017">
      <w:pPr>
        <w:rPr>
          <w:lang w:val="pt-BR"/>
        </w:rPr>
      </w:pPr>
    </w:p>
    <w:p w14:paraId="0CD68150" w14:textId="021C28FA" w:rsidR="00064017" w:rsidRPr="00064017" w:rsidRDefault="00064017" w:rsidP="00064017">
      <w:pPr>
        <w:rPr>
          <w:lang w:val="pt-BR"/>
        </w:rPr>
      </w:pPr>
      <w:r w:rsidRPr="00064017">
        <w:rPr>
          <w:lang w:val="pt-BR"/>
        </w:rPr>
        <w:t>Resumo dos Achados Principais</w:t>
      </w:r>
    </w:p>
    <w:p w14:paraId="1C2B8A65" w14:textId="77777777" w:rsidR="00064017" w:rsidRPr="00064017" w:rsidRDefault="00064017" w:rsidP="00064017">
      <w:pPr>
        <w:rPr>
          <w:lang w:val="pt-BR"/>
        </w:rPr>
      </w:pPr>
      <w:r w:rsidRPr="00064017">
        <w:rPr>
          <w:lang w:val="pt-BR"/>
        </w:rPr>
        <w:t>- A resiliência é quantificada como a área normalizada sob a curva Q(t);</w:t>
      </w:r>
    </w:p>
    <w:p w14:paraId="4D68FE3C" w14:textId="77777777" w:rsidR="00064017" w:rsidRPr="00064017" w:rsidRDefault="00064017" w:rsidP="00064017">
      <w:pPr>
        <w:rPr>
          <w:lang w:val="pt-BR"/>
        </w:rPr>
      </w:pPr>
      <w:r w:rsidRPr="00064017">
        <w:rPr>
          <w:lang w:val="pt-BR"/>
        </w:rPr>
        <w:t>- A abordagem integra perdas diretas/indiretas, fragilidades e tempo de recuperação;</w:t>
      </w:r>
    </w:p>
    <w:p w14:paraId="4FEE30D1" w14:textId="77777777" w:rsidR="00064017" w:rsidRPr="00064017" w:rsidRDefault="00064017" w:rsidP="00064017">
      <w:pPr>
        <w:rPr>
          <w:lang w:val="pt-BR"/>
        </w:rPr>
      </w:pPr>
      <w:r w:rsidRPr="00064017">
        <w:rPr>
          <w:lang w:val="pt-BR"/>
        </w:rPr>
        <w:t>- Propõe modelos de recuperação adaptáveis (linear, exponencial, trigonométrica);</w:t>
      </w:r>
    </w:p>
    <w:p w14:paraId="7FD3A6C7" w14:textId="77777777" w:rsidR="00064017" w:rsidRPr="00064017" w:rsidRDefault="00064017" w:rsidP="00064017">
      <w:pPr>
        <w:rPr>
          <w:lang w:val="pt-BR"/>
        </w:rPr>
      </w:pPr>
      <w:r w:rsidRPr="00064017">
        <w:rPr>
          <w:lang w:val="pt-BR"/>
        </w:rPr>
        <w:t xml:space="preserve">- Aplicações mostram eficácia de </w:t>
      </w:r>
      <w:proofErr w:type="spellStart"/>
      <w:r w:rsidRPr="00064017">
        <w:rPr>
          <w:lang w:val="pt-BR"/>
        </w:rPr>
        <w:t>retrofits</w:t>
      </w:r>
      <w:proofErr w:type="spellEnd"/>
      <w:r w:rsidRPr="00064017">
        <w:rPr>
          <w:lang w:val="pt-BR"/>
        </w:rPr>
        <w:t xml:space="preserve"> baseados em desempenho;</w:t>
      </w:r>
    </w:p>
    <w:p w14:paraId="75B20CDC" w14:textId="77777777" w:rsidR="00064017" w:rsidRDefault="00064017" w:rsidP="00064017">
      <w:pPr>
        <w:rPr>
          <w:lang w:val="pt-BR"/>
        </w:rPr>
      </w:pPr>
      <w:r w:rsidRPr="00064017">
        <w:rPr>
          <w:lang w:val="pt-BR"/>
        </w:rPr>
        <w:t>- A modelagem mecânica ajuda a simular diferentes respostas de recuperação.</w:t>
      </w:r>
    </w:p>
    <w:p w14:paraId="389E1A5F" w14:textId="77777777" w:rsidR="00064017" w:rsidRPr="00064017" w:rsidRDefault="00064017" w:rsidP="00064017">
      <w:pPr>
        <w:rPr>
          <w:lang w:val="pt-BR"/>
        </w:rPr>
      </w:pPr>
    </w:p>
    <w:p w14:paraId="4AA45BC4" w14:textId="1E8F6734" w:rsidR="00064017" w:rsidRPr="00064017" w:rsidRDefault="00064017" w:rsidP="00064017">
      <w:pPr>
        <w:rPr>
          <w:lang w:val="pt-BR"/>
        </w:rPr>
      </w:pPr>
      <w:r w:rsidRPr="00064017">
        <w:rPr>
          <w:lang w:val="pt-BR"/>
        </w:rPr>
        <w:t>Descrição Técnica de Figuras, Tabelas e Gráficos</w:t>
      </w:r>
    </w:p>
    <w:p w14:paraId="1E61542F" w14:textId="77777777" w:rsidR="00064017" w:rsidRPr="00064017" w:rsidRDefault="00064017" w:rsidP="00064017">
      <w:pPr>
        <w:rPr>
          <w:lang w:val="pt-BR"/>
        </w:rPr>
      </w:pPr>
      <w:r w:rsidRPr="00064017">
        <w:rPr>
          <w:lang w:val="pt-BR"/>
        </w:rPr>
        <w:t>• Fig. 1 – Curvas teóricas de recuperação: mostram os diferentes padrões (A: não recuperação, B: recuperação completa, C: superação da condição original);</w:t>
      </w:r>
    </w:p>
    <w:p w14:paraId="16E74AB8" w14:textId="77777777" w:rsidR="00064017" w:rsidRPr="00064017" w:rsidRDefault="00064017" w:rsidP="00064017">
      <w:pPr>
        <w:rPr>
          <w:lang w:val="pt-BR"/>
        </w:rPr>
      </w:pPr>
      <w:r w:rsidRPr="00064017">
        <w:rPr>
          <w:lang w:val="pt-BR"/>
        </w:rPr>
        <w:t>• Fig. 2 – Gráficos de robustez e rapidez: ilustram as dimensões do sistema sob diferentes cenários de recuperação;</w:t>
      </w:r>
    </w:p>
    <w:p w14:paraId="422A3ECC" w14:textId="77777777" w:rsidR="00064017" w:rsidRPr="00064017" w:rsidRDefault="00064017" w:rsidP="00064017">
      <w:pPr>
        <w:rPr>
          <w:lang w:val="pt-BR"/>
        </w:rPr>
      </w:pPr>
      <w:r w:rsidRPr="00064017">
        <w:rPr>
          <w:lang w:val="pt-BR"/>
        </w:rPr>
        <w:t xml:space="preserve">• Fig. 5 – Comparação da resiliência entre diferentes estratégias de </w:t>
      </w:r>
      <w:proofErr w:type="spellStart"/>
      <w:r w:rsidRPr="00064017">
        <w:rPr>
          <w:lang w:val="pt-BR"/>
        </w:rPr>
        <w:t>retrofit</w:t>
      </w:r>
      <w:proofErr w:type="spellEnd"/>
      <w:r w:rsidRPr="00064017">
        <w:rPr>
          <w:lang w:val="pt-BR"/>
        </w:rPr>
        <w:t xml:space="preserve"> para um hospital individual;</w:t>
      </w:r>
    </w:p>
    <w:p w14:paraId="69B7FCA9" w14:textId="77777777" w:rsidR="00064017" w:rsidRPr="00064017" w:rsidRDefault="00064017" w:rsidP="00064017">
      <w:pPr>
        <w:rPr>
          <w:lang w:val="pt-BR"/>
        </w:rPr>
      </w:pPr>
      <w:r w:rsidRPr="00064017">
        <w:rPr>
          <w:lang w:val="pt-BR"/>
        </w:rPr>
        <w:t xml:space="preserve">• Fig. 6 a 8 – Desempenho da rede hospitalar: danos estruturais e não estruturais sob diferentes níveis de </w:t>
      </w:r>
      <w:proofErr w:type="spellStart"/>
      <w:r w:rsidRPr="00064017">
        <w:rPr>
          <w:lang w:val="pt-BR"/>
        </w:rPr>
        <w:t>retrofit</w:t>
      </w:r>
      <w:proofErr w:type="spellEnd"/>
      <w:r w:rsidRPr="00064017">
        <w:rPr>
          <w:lang w:val="pt-BR"/>
        </w:rPr>
        <w:t xml:space="preserve"> e tempo de recuperação;</w:t>
      </w:r>
    </w:p>
    <w:p w14:paraId="5264D674" w14:textId="77777777" w:rsidR="00064017" w:rsidRPr="00064017" w:rsidRDefault="00064017" w:rsidP="00064017">
      <w:pPr>
        <w:rPr>
          <w:lang w:val="pt-BR"/>
        </w:rPr>
      </w:pPr>
      <w:r w:rsidRPr="00064017">
        <w:rPr>
          <w:lang w:val="pt-BR"/>
        </w:rPr>
        <w:t xml:space="preserve">• Tabela 1 – Resiliência por probabilidade de excedência e tipo de </w:t>
      </w:r>
      <w:proofErr w:type="spellStart"/>
      <w:r w:rsidRPr="00064017">
        <w:rPr>
          <w:lang w:val="pt-BR"/>
        </w:rPr>
        <w:t>retrofit</w:t>
      </w:r>
      <w:proofErr w:type="spellEnd"/>
      <w:r w:rsidRPr="00064017">
        <w:rPr>
          <w:lang w:val="pt-BR"/>
        </w:rPr>
        <w:t>;</w:t>
      </w:r>
    </w:p>
    <w:p w14:paraId="01841209" w14:textId="77777777" w:rsidR="00064017" w:rsidRDefault="00064017" w:rsidP="00064017">
      <w:pPr>
        <w:rPr>
          <w:lang w:val="pt-BR"/>
        </w:rPr>
      </w:pPr>
      <w:r w:rsidRPr="00064017">
        <w:rPr>
          <w:lang w:val="pt-BR"/>
        </w:rPr>
        <w:t>• Tabela 3 – Custos, tempo de recuperação e valores de resiliência para diferentes estratégias.</w:t>
      </w:r>
    </w:p>
    <w:p w14:paraId="3430FDD2" w14:textId="77777777" w:rsidR="00064017" w:rsidRPr="00064017" w:rsidRDefault="00064017" w:rsidP="00064017">
      <w:pPr>
        <w:rPr>
          <w:lang w:val="pt-BR"/>
        </w:rPr>
      </w:pPr>
    </w:p>
    <w:sectPr w:rsidR="00064017" w:rsidRPr="00064017" w:rsidSect="00435A17">
      <w:pgSz w:w="11907" w:h="16840" w:code="9"/>
      <w:pgMar w:top="1440" w:right="1440" w:bottom="1077" w:left="1797" w:header="720" w:footer="119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017"/>
    <w:rsid w:val="000131F2"/>
    <w:rsid w:val="00050A60"/>
    <w:rsid w:val="00064017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95B01"/>
    <w:rsid w:val="0061413D"/>
    <w:rsid w:val="006363A1"/>
    <w:rsid w:val="00744A15"/>
    <w:rsid w:val="00785F46"/>
    <w:rsid w:val="007E0455"/>
    <w:rsid w:val="007E69F0"/>
    <w:rsid w:val="00804B85"/>
    <w:rsid w:val="008226B2"/>
    <w:rsid w:val="008C0D5E"/>
    <w:rsid w:val="00A04542"/>
    <w:rsid w:val="00A74270"/>
    <w:rsid w:val="00A773DD"/>
    <w:rsid w:val="00A91291"/>
    <w:rsid w:val="00AA4524"/>
    <w:rsid w:val="00AC5231"/>
    <w:rsid w:val="00AD743E"/>
    <w:rsid w:val="00B30ED7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B17DD"/>
  <w15:chartTrackingRefBased/>
  <w15:docId w15:val="{BA9CCC90-8382-4685-9580-0164F639F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A17"/>
    <w:pPr>
      <w:spacing w:after="0" w:line="336" w:lineRule="auto"/>
    </w:pPr>
    <w:rPr>
      <w:rFonts w:ascii="Times New Roman" w:eastAsiaTheme="minorEastAsia" w:hAnsi="Times New Roman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40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401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401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401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401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tulo">
    <w:name w:val="Title"/>
    <w:basedOn w:val="Normal"/>
    <w:next w:val="Normal"/>
    <w:link w:val="TtuloChar"/>
    <w:uiPriority w:val="10"/>
    <w:qFormat/>
    <w:rsid w:val="00B7708D"/>
    <w:pPr>
      <w:pBdr>
        <w:bottom w:val="single" w:sz="8" w:space="4" w:color="auto"/>
      </w:pBdr>
      <w:spacing w:after="300" w:line="240" w:lineRule="auto"/>
      <w:contextualSpacing/>
    </w:pPr>
    <w:rPr>
      <w:rFonts w:eastAsiaTheme="majorEastAsia" w:cstheme="majorBidi"/>
      <w:spacing w:val="5"/>
      <w:kern w:val="28"/>
      <w:sz w:val="32"/>
      <w:szCs w:val="52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rsid w:val="00B7708D"/>
    <w:rPr>
      <w:rFonts w:eastAsiaTheme="minorHAnsi"/>
      <w:i/>
      <w:iCs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B7708D"/>
    <w:rPr>
      <w:rFonts w:ascii="Times New Roman" w:hAnsi="Times New Roman"/>
      <w:i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4017"/>
    <w:rPr>
      <w:rFonts w:eastAsiaTheme="majorEastAsia" w:cstheme="majorBidi"/>
      <w:color w:val="0F4761" w:themeColor="accent1" w:themeShade="BF"/>
      <w:lang w:val="en-US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4017"/>
    <w:rPr>
      <w:rFonts w:eastAsiaTheme="majorEastAsia" w:cstheme="majorBidi"/>
      <w:i/>
      <w:iCs/>
      <w:color w:val="595959" w:themeColor="text1" w:themeTint="A6"/>
      <w:lang w:val="en-US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4017"/>
    <w:rPr>
      <w:rFonts w:eastAsiaTheme="majorEastAsia" w:cstheme="majorBidi"/>
      <w:color w:val="595959" w:themeColor="text1" w:themeTint="A6"/>
      <w:lang w:val="en-US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4017"/>
    <w:rPr>
      <w:rFonts w:eastAsiaTheme="majorEastAsia" w:cstheme="majorBidi"/>
      <w:i/>
      <w:iCs/>
      <w:color w:val="272727" w:themeColor="text1" w:themeTint="D8"/>
      <w:lang w:val="en-US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4017"/>
    <w:rPr>
      <w:rFonts w:eastAsiaTheme="majorEastAsia" w:cstheme="majorBidi"/>
      <w:color w:val="272727" w:themeColor="text1" w:themeTint="D8"/>
      <w:lang w:val="en-US"/>
      <w14:ligatures w14:val="none"/>
    </w:rPr>
  </w:style>
  <w:style w:type="paragraph" w:styleId="PargrafodaLista">
    <w:name w:val="List Paragraph"/>
    <w:basedOn w:val="Normal"/>
    <w:uiPriority w:val="34"/>
    <w:qFormat/>
    <w:rsid w:val="000640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40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4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4017"/>
    <w:rPr>
      <w:rFonts w:ascii="Times New Roman" w:eastAsiaTheme="minorEastAsia" w:hAnsi="Times New Roman"/>
      <w:i/>
      <w:iCs/>
      <w:color w:val="0F4761" w:themeColor="accent1" w:themeShade="BF"/>
      <w:lang w:val="en-US"/>
      <w14:ligatures w14:val="none"/>
    </w:rPr>
  </w:style>
  <w:style w:type="character" w:styleId="RefernciaIntensa">
    <w:name w:val="Intense Reference"/>
    <w:basedOn w:val="Fontepargpadro"/>
    <w:uiPriority w:val="32"/>
    <w:qFormat/>
    <w:rsid w:val="000640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723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2025-05-11T21:09:00Z</dcterms:created>
  <dcterms:modified xsi:type="dcterms:W3CDTF">2025-05-11T21:11:00Z</dcterms:modified>
</cp:coreProperties>
</file>