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27A2" w14:textId="786D89FB" w:rsidR="00AC5231" w:rsidRDefault="007C32E1">
      <w:pPr>
        <w:rPr>
          <w:lang w:val="en-US"/>
        </w:rPr>
      </w:pPr>
      <w:r w:rsidRPr="007C32E1">
        <w:rPr>
          <w:lang w:val="en-US"/>
        </w:rPr>
        <w:t>Chapter-1-Renewable Energy and Climate Change</w:t>
      </w:r>
    </w:p>
    <w:p w14:paraId="01ADCE18" w14:textId="77777777" w:rsidR="007C32E1" w:rsidRDefault="007C32E1">
      <w:pPr>
        <w:rPr>
          <w:lang w:val="en-US"/>
        </w:rPr>
      </w:pPr>
    </w:p>
    <w:p w14:paraId="41815601" w14:textId="77777777" w:rsidR="007C32E1" w:rsidRPr="007C32E1" w:rsidRDefault="007C32E1" w:rsidP="007C32E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introdutório do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IPCC SRREN (2011)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estabelece o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enquadramento global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energia, emissões de GEE, mudanças climáticas e fontes renováveis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base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quantitativa, estatística e </w:t>
      </w:r>
      <w:proofErr w:type="spellStart"/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cenarizada</w:t>
      </w:r>
      <w:proofErr w:type="spellEnd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É um documento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canónico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trata diretamente de resiliência de infraestruturas elétricas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9CD3C1B" w14:textId="77777777" w:rsidR="007C32E1" w:rsidRPr="007C32E1" w:rsidRDefault="007C32E1" w:rsidP="007C3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Principais contributos relevantes</w:t>
      </w:r>
    </w:p>
    <w:p w14:paraId="7187A62E" w14:textId="77777777" w:rsidR="007C32E1" w:rsidRPr="007C32E1" w:rsidRDefault="007C32E1" w:rsidP="007C3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Relação energia ↔ clima (base factual sólida)</w:t>
      </w:r>
    </w:p>
    <w:p w14:paraId="7BFF32C3" w14:textId="77777777" w:rsidR="007C32E1" w:rsidRPr="007C32E1" w:rsidRDefault="007C32E1" w:rsidP="007C32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Demonstra, com dados consolidados:</w:t>
      </w:r>
    </w:p>
    <w:p w14:paraId="084B4D04" w14:textId="77777777" w:rsidR="007C32E1" w:rsidRPr="007C32E1" w:rsidRDefault="007C32E1" w:rsidP="007C3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dominância histórica dos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combustíveis fósseis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(≈85% da energia primária em 2008);</w:t>
      </w:r>
    </w:p>
    <w:p w14:paraId="4BD654C4" w14:textId="77777777" w:rsidR="007C32E1" w:rsidRPr="007C32E1" w:rsidRDefault="007C32E1" w:rsidP="007C3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contribuição direta do setor energético para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56,6% das emissões antropogénicas de GEE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7EB386" w14:textId="77777777" w:rsidR="007C32E1" w:rsidRPr="007C32E1" w:rsidRDefault="007C32E1" w:rsidP="007C32E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Apresenta projeções robustas de:</w:t>
      </w:r>
    </w:p>
    <w:p w14:paraId="2FBA1118" w14:textId="77777777" w:rsidR="007C32E1" w:rsidRPr="007C32E1" w:rsidRDefault="007C32E1" w:rsidP="007C3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crescimento da demanda energética;</w:t>
      </w:r>
    </w:p>
    <w:p w14:paraId="102E9179" w14:textId="77777777" w:rsidR="007C32E1" w:rsidRPr="007C32E1" w:rsidRDefault="007C32E1" w:rsidP="007C32E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da temperatura média global (≈1,1 °C a 6,4 °C até 2100, cenários SRES).</w:t>
      </w:r>
    </w:p>
    <w:p w14:paraId="658F9AEF" w14:textId="77777777" w:rsidR="007C32E1" w:rsidRPr="007C32E1" w:rsidRDefault="007C32E1" w:rsidP="007C3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Base climática e cenarização</w:t>
      </w:r>
    </w:p>
    <w:p w14:paraId="5137A3B5" w14:textId="77777777" w:rsidR="007C32E1" w:rsidRPr="007C32E1" w:rsidRDefault="007C32E1" w:rsidP="007C3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Introduz formalmente:</w:t>
      </w:r>
    </w:p>
    <w:p w14:paraId="5E902B45" w14:textId="77777777" w:rsidR="007C32E1" w:rsidRPr="007C32E1" w:rsidRDefault="007C32E1" w:rsidP="007C32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cenários SRES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(pré-SSP/RCP);</w:t>
      </w:r>
    </w:p>
    <w:p w14:paraId="5BD8F212" w14:textId="77777777" w:rsidR="007C32E1" w:rsidRPr="007C32E1" w:rsidRDefault="007C32E1" w:rsidP="007C32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intervalos de estabilização de concentrações (445–1130 </w:t>
      </w:r>
      <w:proofErr w:type="spellStart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ppm</w:t>
      </w:r>
      <w:proofErr w:type="spellEnd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CO₂eq</w:t>
      </w:r>
      <w:proofErr w:type="spellEnd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2CCB8DFB" w14:textId="77777777" w:rsidR="007C32E1" w:rsidRPr="007C32E1" w:rsidRDefault="007C32E1" w:rsidP="007C32E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entre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trajetórias de emissões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de temperatura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812B02D" w14:textId="77777777" w:rsidR="007C32E1" w:rsidRPr="007C32E1" w:rsidRDefault="007C32E1" w:rsidP="007C32E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cenários são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antecessores diretos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SSP/RCP usados hoje.</w:t>
      </w:r>
    </w:p>
    <w:p w14:paraId="1FFD6798" w14:textId="77777777" w:rsidR="007C32E1" w:rsidRPr="007C32E1" w:rsidRDefault="007C32E1" w:rsidP="007C3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Impactos indiretos no setor elétrico</w:t>
      </w:r>
    </w:p>
    <w:p w14:paraId="577C035D" w14:textId="77777777" w:rsidR="007C32E1" w:rsidRPr="007C32E1" w:rsidRDefault="007C32E1" w:rsidP="007C32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Reconhece que:</w:t>
      </w:r>
    </w:p>
    <w:p w14:paraId="4B99FC1F" w14:textId="77777777" w:rsidR="007C32E1" w:rsidRPr="007C32E1" w:rsidRDefault="007C32E1" w:rsidP="007C3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eventos climáticos extremos tendem a aumentar;</w:t>
      </w:r>
    </w:p>
    <w:p w14:paraId="6D6A1C55" w14:textId="77777777" w:rsidR="007C32E1" w:rsidRPr="007C32E1" w:rsidRDefault="007C32E1" w:rsidP="007C3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energéticos precisam ser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seguros, confiáveis e adaptáveis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CDD860" w14:textId="77777777" w:rsidR="007C32E1" w:rsidRPr="007C32E1" w:rsidRDefault="007C32E1" w:rsidP="007C32E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Contudo:</w:t>
      </w:r>
    </w:p>
    <w:p w14:paraId="65F29923" w14:textId="77777777" w:rsidR="007C32E1" w:rsidRPr="007C32E1" w:rsidRDefault="007C32E1" w:rsidP="007C3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análise é </w:t>
      </w:r>
      <w:proofErr w:type="spellStart"/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macrossistémica</w:t>
      </w:r>
      <w:proofErr w:type="spellEnd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E9D1BF" w14:textId="77777777" w:rsidR="007C32E1" w:rsidRPr="007C32E1" w:rsidRDefault="007C32E1" w:rsidP="007C32E1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ligação explícita a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de linhas de transmissão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tempos de recuperação ou métricas de desempenho.</w:t>
      </w:r>
    </w:p>
    <w:p w14:paraId="732053CA" w14:textId="77777777" w:rsidR="007C32E1" w:rsidRPr="007C32E1" w:rsidRDefault="007C32E1" w:rsidP="007C32E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C32E1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Limitações face à resiliência</w:t>
      </w:r>
    </w:p>
    <w:p w14:paraId="3A3B708F" w14:textId="77777777" w:rsidR="007C32E1" w:rsidRPr="007C32E1" w:rsidRDefault="007C32E1" w:rsidP="007C3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capítulo:</w:t>
      </w:r>
    </w:p>
    <w:p w14:paraId="1559E150" w14:textId="77777777" w:rsidR="007C32E1" w:rsidRPr="007C32E1" w:rsidRDefault="007C32E1" w:rsidP="007C32E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define resiliência;</w:t>
      </w:r>
    </w:p>
    <w:p w14:paraId="342578DA" w14:textId="77777777" w:rsidR="007C32E1" w:rsidRPr="007C32E1" w:rsidRDefault="007C32E1" w:rsidP="007C32E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distingue confiabilidade × resiliência;</w:t>
      </w:r>
    </w:p>
    <w:p w14:paraId="1C9A2547" w14:textId="77777777" w:rsidR="007C32E1" w:rsidRPr="007C32E1" w:rsidRDefault="007C32E1" w:rsidP="007C32E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danos físicos ou recuperação;</w:t>
      </w:r>
    </w:p>
    <w:p w14:paraId="6094E5B7" w14:textId="77777777" w:rsidR="007C32E1" w:rsidRPr="007C32E1" w:rsidRDefault="007C32E1" w:rsidP="007C32E1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aborda linhas de transmissão como objetos de estudo.</w:t>
      </w:r>
    </w:p>
    <w:p w14:paraId="23BE589B" w14:textId="39A970FF" w:rsidR="007C32E1" w:rsidRPr="007C32E1" w:rsidRDefault="007C32E1" w:rsidP="007C32E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palavra “</w:t>
      </w:r>
      <w:proofErr w:type="spellStart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aparece apenas em sentido </w:t>
      </w:r>
      <w:r w:rsidRPr="007C32E1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genérico e normativo</w:t>
      </w:r>
      <w:r w:rsidRPr="007C32E1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sectPr w:rsidR="007C32E1" w:rsidRPr="007C32E1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9064F"/>
    <w:multiLevelType w:val="multilevel"/>
    <w:tmpl w:val="562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20B6C"/>
    <w:multiLevelType w:val="multilevel"/>
    <w:tmpl w:val="A5C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704A6"/>
    <w:multiLevelType w:val="multilevel"/>
    <w:tmpl w:val="F87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35125"/>
    <w:multiLevelType w:val="multilevel"/>
    <w:tmpl w:val="8798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07147">
    <w:abstractNumId w:val="3"/>
  </w:num>
  <w:num w:numId="2" w16cid:durableId="247813668">
    <w:abstractNumId w:val="1"/>
  </w:num>
  <w:num w:numId="3" w16cid:durableId="395126081">
    <w:abstractNumId w:val="0"/>
  </w:num>
  <w:num w:numId="4" w16cid:durableId="990716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2E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C32E1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CB37"/>
  <w15:chartTrackingRefBased/>
  <w15:docId w15:val="{0D64C6DA-4A58-441E-847A-38A3268A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2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2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2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2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2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2E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2E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2E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2E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2E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7C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2E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7C32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32E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C32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2025-12-31T18:10:00Z</dcterms:created>
  <dcterms:modified xsi:type="dcterms:W3CDTF">2025-12-31T18:11:00Z</dcterms:modified>
</cp:coreProperties>
</file>