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89191F" w14:textId="77777777" w:rsidR="00294C3F" w:rsidRDefault="00294C3F" w:rsidP="00294C3F">
      <w:proofErr w:type="spellStart"/>
      <w:r>
        <w:t>Resumo</w:t>
      </w:r>
      <w:proofErr w:type="spellEnd"/>
      <w:r>
        <w:t xml:space="preserve"> Técnico – </w:t>
      </w:r>
      <w:proofErr w:type="spellStart"/>
      <w:r>
        <w:t>Artigo</w:t>
      </w:r>
      <w:proofErr w:type="spellEnd"/>
      <w:r>
        <w:t>: Disaster resilience: a bounce back or bounce forward ability?</w:t>
      </w:r>
    </w:p>
    <w:p w14:paraId="2750CC06" w14:textId="77777777" w:rsidR="00294C3F" w:rsidRDefault="00294C3F" w:rsidP="00294C3F"/>
    <w:p w14:paraId="67959286" w14:textId="77777777" w:rsidR="00294C3F" w:rsidRDefault="00294C3F" w:rsidP="00294C3F">
      <w:proofErr w:type="spellStart"/>
      <w:r>
        <w:t>Título</w:t>
      </w:r>
      <w:proofErr w:type="spellEnd"/>
      <w:r>
        <w:t xml:space="preserve"> e </w:t>
      </w:r>
      <w:proofErr w:type="spellStart"/>
      <w:r>
        <w:t>Autores</w:t>
      </w:r>
      <w:proofErr w:type="spellEnd"/>
    </w:p>
    <w:p w14:paraId="70231DD5" w14:textId="77777777" w:rsidR="00294C3F" w:rsidRDefault="00294C3F" w:rsidP="00294C3F">
      <w:r>
        <w:t>Disaster resilience: a bounce back or bounce forward ability?</w:t>
      </w:r>
    </w:p>
    <w:p w14:paraId="0E3C5796" w14:textId="77777777" w:rsidR="00294C3F" w:rsidRDefault="00294C3F" w:rsidP="00294C3F">
      <w:proofErr w:type="spellStart"/>
      <w:r>
        <w:t>Autores</w:t>
      </w:r>
      <w:proofErr w:type="spellEnd"/>
      <w:r>
        <w:t xml:space="preserve">: </w:t>
      </w:r>
      <w:proofErr w:type="spellStart"/>
      <w:r>
        <w:t>Siambabala</w:t>
      </w:r>
      <w:proofErr w:type="spellEnd"/>
      <w:r>
        <w:t xml:space="preserve"> Bernard </w:t>
      </w:r>
      <w:proofErr w:type="spellStart"/>
      <w:r>
        <w:t>Manyena</w:t>
      </w:r>
      <w:proofErr w:type="spellEnd"/>
      <w:r>
        <w:t>, Geoff O’Brien, Phil O’Keefe, Joanne Rose</w:t>
      </w:r>
    </w:p>
    <w:p w14:paraId="3BF8DBDA" w14:textId="77777777" w:rsidR="00294C3F" w:rsidRDefault="00294C3F" w:rsidP="00294C3F">
      <w:proofErr w:type="spellStart"/>
      <w:r>
        <w:t>Afiliação</w:t>
      </w:r>
      <w:proofErr w:type="spellEnd"/>
      <w:r>
        <w:t>: School of Built and Natural Environment, Northumbria University, Newcastle upon Tyne, UK</w:t>
      </w:r>
    </w:p>
    <w:p w14:paraId="2F4B6383" w14:textId="77777777" w:rsidR="00294C3F" w:rsidRDefault="00294C3F" w:rsidP="00294C3F"/>
    <w:p w14:paraId="5517032D" w14:textId="77A6E9D0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Resumo Abstract</w:t>
      </w:r>
    </w:p>
    <w:p w14:paraId="6EE1AC0A" w14:textId="2F815874" w:rsid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Este artigo discute criticamente a evolução do conceito de resiliência no contexto de desastres, questionando o modelo tradicional de </w:t>
      </w:r>
      <w:r w:rsidRPr="00E07D60">
        <w:rPr>
          <w:u w:val="single"/>
          <w:lang w:val="pt-BR"/>
        </w:rPr>
        <w:t>retorno ao normal</w:t>
      </w:r>
      <w:r w:rsidRPr="00294C3F">
        <w:rPr>
          <w:lang w:val="pt-BR"/>
        </w:rPr>
        <w:t xml:space="preserve"> ou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back</w:t>
      </w:r>
      <w:proofErr w:type="spellEnd"/>
      <w:r w:rsidRPr="00294C3F">
        <w:rPr>
          <w:lang w:val="pt-BR"/>
        </w:rPr>
        <w:t xml:space="preserve">. Os autores propõem uma abordagem alternativa: a resiliência como capacidade de avançar ou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>, que reconhece e incorpora as mudanças provocadas por eventos extremos. Essa perspectiva tem implicações filosóficas, psicológicas e institucionais importantes para a formulação de políticas públicas e a reconstrução pós-desastre.</w:t>
      </w:r>
    </w:p>
    <w:p w14:paraId="0887C4F6" w14:textId="77777777" w:rsidR="00294C3F" w:rsidRPr="00294C3F" w:rsidRDefault="00294C3F" w:rsidP="00294C3F">
      <w:pPr>
        <w:rPr>
          <w:lang w:val="pt-BR"/>
        </w:rPr>
      </w:pPr>
    </w:p>
    <w:p w14:paraId="6291DB8A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1. Introdução</w:t>
      </w:r>
    </w:p>
    <w:p w14:paraId="10A02A28" w14:textId="0DBDB971" w:rsid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A introdução do artigo destaca a crescente relevância da resiliência desde a Conferência Mundial sobre Redução de Desastres em 2005. O debate gira em torno da distinção entre resiliência e vulnerabilidade. A noção de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back</w:t>
      </w:r>
      <w:proofErr w:type="spellEnd"/>
      <w:r w:rsidRPr="00294C3F">
        <w:rPr>
          <w:lang w:val="pt-BR"/>
        </w:rPr>
        <w:t xml:space="preserve"> ajuda a distinguir os dois conceitos, mas ignora o fato de que os desastres produzem transformações profundas. Assim, propõe-se ver a resiliência como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>, enfatizando adaptação e transformação.</w:t>
      </w:r>
    </w:p>
    <w:p w14:paraId="019F06DC" w14:textId="77777777" w:rsidR="00294C3F" w:rsidRPr="00294C3F" w:rsidRDefault="00294C3F" w:rsidP="00294C3F">
      <w:pPr>
        <w:rPr>
          <w:lang w:val="pt-BR"/>
        </w:rPr>
      </w:pPr>
    </w:p>
    <w:p w14:paraId="6B7DFF05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2. Metodologia</w:t>
      </w:r>
    </w:p>
    <w:p w14:paraId="5BAD4F63" w14:textId="77777777" w:rsidR="00294C3F" w:rsidRDefault="00294C3F" w:rsidP="00294C3F">
      <w:pPr>
        <w:rPr>
          <w:lang w:val="pt-BR"/>
        </w:rPr>
      </w:pPr>
      <w:r w:rsidRPr="00294C3F">
        <w:rPr>
          <w:lang w:val="pt-BR"/>
        </w:rPr>
        <w:t>O artigo é de natureza conceitual e teórica, com base em revisão bibliográfica e análise crítica de casos reais. Utiliza exemplos históricos e contemporâneos (como os terremotos do Irã, o tsunami no Sri Lanka, a crise no Zimbábue e o desastre nuclear de Fukushima) para ilustrar o argumento central. Também discute as implicações institucionais com base em políticas públicas do Reino Unido e intervenções em comunidades afetadas por desastres.</w:t>
      </w:r>
    </w:p>
    <w:p w14:paraId="6AC63F8F" w14:textId="77777777" w:rsidR="00294C3F" w:rsidRPr="00294C3F" w:rsidRDefault="00294C3F" w:rsidP="00294C3F">
      <w:pPr>
        <w:rPr>
          <w:lang w:val="pt-BR"/>
        </w:rPr>
      </w:pPr>
    </w:p>
    <w:p w14:paraId="22CB6A73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3. Resultados</w:t>
      </w:r>
    </w:p>
    <w:p w14:paraId="70BF7D50" w14:textId="3D56C966" w:rsid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O artigo propõe que a resiliência deva ser concebida como uma capacidade adaptativa e propositiva. O modelo de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 xml:space="preserve"> permite uma reestruturação social, institucional e infraestrutural mais adequada às novas realidades pós-desastre. Casos como o da reforma dos serviços de incêndio no Reino Unido e da reconstrução na Somália demonstram como mudanças estruturais e aprendizado institucional podem incorporar lições de desastres anteriores.</w:t>
      </w:r>
    </w:p>
    <w:p w14:paraId="4544203A" w14:textId="77777777" w:rsidR="00294C3F" w:rsidRPr="00294C3F" w:rsidRDefault="00294C3F" w:rsidP="00294C3F">
      <w:pPr>
        <w:rPr>
          <w:lang w:val="pt-BR"/>
        </w:rPr>
      </w:pPr>
    </w:p>
    <w:p w14:paraId="7D376776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4. Discussão</w:t>
      </w:r>
    </w:p>
    <w:p w14:paraId="51890E61" w14:textId="54A3BC7B" w:rsid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A discussão critica a visão tradicional de resiliência centrada no retorno ao estado anterior. A abordagem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 xml:space="preserve"> considera os desastres como catalisadores de mudanças e potencializa </w:t>
      </w:r>
      <w:r w:rsidRPr="00294C3F">
        <w:rPr>
          <w:lang w:val="pt-BR"/>
        </w:rPr>
        <w:lastRenderedPageBreak/>
        <w:t xml:space="preserve">ações transformadoras nas comunidades afetadas. Além disso, distingue os tipos de aprendizado institucional: o aprendizado de </w:t>
      </w:r>
      <w:r w:rsidRPr="00E07D60">
        <w:rPr>
          <w:i/>
          <w:iCs/>
          <w:lang w:val="pt-BR"/>
        </w:rPr>
        <w:t>loop</w:t>
      </w:r>
      <w:r w:rsidRPr="00294C3F">
        <w:rPr>
          <w:lang w:val="pt-BR"/>
        </w:rPr>
        <w:t xml:space="preserve"> simples, focado em correção de erros operacionais, e o aprendizado de </w:t>
      </w:r>
      <w:r w:rsidRPr="00E07D60">
        <w:rPr>
          <w:i/>
          <w:iCs/>
          <w:lang w:val="pt-BR"/>
        </w:rPr>
        <w:t>loop</w:t>
      </w:r>
      <w:r w:rsidRPr="00294C3F">
        <w:rPr>
          <w:lang w:val="pt-BR"/>
        </w:rPr>
        <w:t xml:space="preserve"> duplo, que revisita valores, suposições e políticas estruturantes. Esse segundo tipo é essencial para promover resiliência real e duradoura.</w:t>
      </w:r>
    </w:p>
    <w:p w14:paraId="320F24A8" w14:textId="77777777" w:rsidR="00294C3F" w:rsidRPr="00294C3F" w:rsidRDefault="00294C3F" w:rsidP="00294C3F">
      <w:pPr>
        <w:rPr>
          <w:lang w:val="pt-BR"/>
        </w:rPr>
      </w:pPr>
    </w:p>
    <w:p w14:paraId="11F98A77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5. Conclusão crítica</w:t>
      </w:r>
    </w:p>
    <w:p w14:paraId="2D41A7EF" w14:textId="3366576A" w:rsid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A resiliência deve ser entendida como um conceito dinâmico, voltado para a transformação e não apenas para a restauração. A abordagem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 xml:space="preserve"> oferece uma nova perspectiva, mais alinhada com os desafios contemporâneos, como a mudança climática e as desigualdades socioeconômicas. O artigo reforça a importância de estratégias comunitárias, justiça ambiental e aprendizagem social para construir comunidades mais preparadas e adaptativas.</w:t>
      </w:r>
    </w:p>
    <w:p w14:paraId="700CC036" w14:textId="77777777" w:rsidR="00294C3F" w:rsidRPr="00294C3F" w:rsidRDefault="00294C3F" w:rsidP="00294C3F">
      <w:pPr>
        <w:rPr>
          <w:lang w:val="pt-BR"/>
        </w:rPr>
      </w:pPr>
    </w:p>
    <w:p w14:paraId="4AD45836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Resumo dos Achados Principais</w:t>
      </w:r>
    </w:p>
    <w:p w14:paraId="4F48E808" w14:textId="2C105762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 xml:space="preserve">-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forward</w:t>
      </w:r>
      <w:proofErr w:type="spellEnd"/>
      <w:r w:rsidRPr="00294C3F">
        <w:rPr>
          <w:lang w:val="pt-BR"/>
        </w:rPr>
        <w:t xml:space="preserve"> é mais eficaz do que </w:t>
      </w:r>
      <w:proofErr w:type="spellStart"/>
      <w:r w:rsidRPr="00E07D60">
        <w:rPr>
          <w:i/>
          <w:iCs/>
          <w:lang w:val="pt-BR"/>
        </w:rPr>
        <w:t>bounce</w:t>
      </w:r>
      <w:proofErr w:type="spellEnd"/>
      <w:r w:rsidRPr="00E07D60">
        <w:rPr>
          <w:i/>
          <w:iCs/>
          <w:lang w:val="pt-BR"/>
        </w:rPr>
        <w:t xml:space="preserve"> </w:t>
      </w:r>
      <w:proofErr w:type="spellStart"/>
      <w:r w:rsidRPr="00E07D60">
        <w:rPr>
          <w:i/>
          <w:iCs/>
          <w:lang w:val="pt-BR"/>
        </w:rPr>
        <w:t>back</w:t>
      </w:r>
      <w:proofErr w:type="spellEnd"/>
      <w:r w:rsidRPr="00294C3F">
        <w:rPr>
          <w:lang w:val="pt-BR"/>
        </w:rPr>
        <w:t xml:space="preserve"> na resiliência pós-desastre.</w:t>
      </w:r>
    </w:p>
    <w:p w14:paraId="3AFA61A2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- A vulnerabilidade não é apenas técnica, mas estrutural e política.</w:t>
      </w:r>
    </w:p>
    <w:p w14:paraId="32805ED1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- A aprendizagem institucional é chave para mudanças duradouras.</w:t>
      </w:r>
    </w:p>
    <w:p w14:paraId="01C23F09" w14:textId="77777777" w:rsidR="00294C3F" w:rsidRPr="00294C3F" w:rsidRDefault="00294C3F" w:rsidP="00294C3F">
      <w:pPr>
        <w:rPr>
          <w:lang w:val="pt-BR"/>
        </w:rPr>
      </w:pPr>
      <w:r w:rsidRPr="00294C3F">
        <w:rPr>
          <w:lang w:val="pt-BR"/>
        </w:rPr>
        <w:t>- A participação comunitária e o redesenho de políticas públicas são essenciais.</w:t>
      </w:r>
    </w:p>
    <w:p w14:paraId="13F8FE36" w14:textId="541796E4" w:rsidR="00294C3F" w:rsidRPr="00294C3F" w:rsidRDefault="00294C3F" w:rsidP="00294C3F">
      <w:pPr>
        <w:rPr>
          <w:lang w:val="pt-BR"/>
        </w:rPr>
      </w:pPr>
    </w:p>
    <w:sectPr w:rsidR="00294C3F" w:rsidRPr="00294C3F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C3F"/>
    <w:rsid w:val="000131F2"/>
    <w:rsid w:val="0007293B"/>
    <w:rsid w:val="0008424C"/>
    <w:rsid w:val="00096FFB"/>
    <w:rsid w:val="000C625D"/>
    <w:rsid w:val="000D45BD"/>
    <w:rsid w:val="001325CB"/>
    <w:rsid w:val="00172112"/>
    <w:rsid w:val="00196796"/>
    <w:rsid w:val="00294C3F"/>
    <w:rsid w:val="00347332"/>
    <w:rsid w:val="0039444F"/>
    <w:rsid w:val="003F704C"/>
    <w:rsid w:val="00423B9B"/>
    <w:rsid w:val="00435A17"/>
    <w:rsid w:val="004B5BB7"/>
    <w:rsid w:val="00502614"/>
    <w:rsid w:val="005272F0"/>
    <w:rsid w:val="00595B01"/>
    <w:rsid w:val="0061413D"/>
    <w:rsid w:val="008226B2"/>
    <w:rsid w:val="008C0D5E"/>
    <w:rsid w:val="00A04542"/>
    <w:rsid w:val="00A74270"/>
    <w:rsid w:val="00AA4524"/>
    <w:rsid w:val="00AC5231"/>
    <w:rsid w:val="00B7708D"/>
    <w:rsid w:val="00B811CD"/>
    <w:rsid w:val="00BF51C6"/>
    <w:rsid w:val="00C03A12"/>
    <w:rsid w:val="00D25A09"/>
    <w:rsid w:val="00D63D8E"/>
    <w:rsid w:val="00E07D60"/>
    <w:rsid w:val="00F77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CBB532"/>
  <w15:chartTrackingRefBased/>
  <w15:docId w15:val="{9B93C1AF-6E10-4004-BF5D-A46326D60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94C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94C3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94C3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94C3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94C3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Ttulo4Char">
    <w:name w:val="Título 4 Char"/>
    <w:basedOn w:val="Fontepargpadro"/>
    <w:link w:val="Ttulo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tulo">
    <w:name w:val="Title"/>
    <w:basedOn w:val="Normal"/>
    <w:next w:val="Normal"/>
    <w:link w:val="Ttulo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7708D"/>
    <w:rPr>
      <w:rFonts w:ascii="Times New Roman" w:hAnsi="Times New Roman"/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294C3F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94C3F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94C3F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94C3F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94C3F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PargrafodaLista">
    <w:name w:val="List Paragraph"/>
    <w:basedOn w:val="Normal"/>
    <w:uiPriority w:val="34"/>
    <w:qFormat/>
    <w:rsid w:val="00294C3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94C3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94C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94C3F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RefernciaIntensa">
    <w:name w:val="Intense Reference"/>
    <w:basedOn w:val="Fontepargpadro"/>
    <w:uiPriority w:val="32"/>
    <w:qFormat/>
    <w:rsid w:val="00294C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560</Words>
  <Characters>3024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2</cp:revision>
  <dcterms:created xsi:type="dcterms:W3CDTF">2025-05-03T22:28:00Z</dcterms:created>
  <dcterms:modified xsi:type="dcterms:W3CDTF">2025-05-03T22:34:00Z</dcterms:modified>
</cp:coreProperties>
</file>