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2ED711" w14:textId="16DF7744" w:rsidR="00AC5231" w:rsidRDefault="00EE3772">
      <w:pPr>
        <w:rPr>
          <w:lang w:val="en-US"/>
        </w:rPr>
      </w:pPr>
      <w:r w:rsidRPr="00EE3772">
        <w:rPr>
          <w:lang w:val="en-US"/>
        </w:rPr>
        <w:t>Evaluation of Resiliency of Transportation Networks After Disasters</w:t>
      </w:r>
    </w:p>
    <w:p w14:paraId="68C09C15" w14:textId="77777777" w:rsidR="00EE3772" w:rsidRDefault="00EE3772">
      <w:pPr>
        <w:rPr>
          <w:lang w:val="en-US"/>
        </w:rPr>
      </w:pPr>
    </w:p>
    <w:p w14:paraId="28642C62" w14:textId="77777777" w:rsidR="003A7980" w:rsidRPr="003A7980" w:rsidRDefault="003A7980" w:rsidP="003A7980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3A7980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O artigo propõe uma </w:t>
      </w:r>
      <w:r w:rsidRPr="003A7980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metodologia qualitativo-quantitativa para avaliar a resiliência de redes de transporte</w:t>
      </w:r>
      <w:r w:rsidRPr="003A7980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antes de eventos disruptivos, com o objetivo de </w:t>
      </w:r>
      <w:r w:rsidRPr="003A7980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priorizar investimentos</w:t>
      </w:r>
      <w:r w:rsidRPr="003A7980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. A abordagem é </w:t>
      </w:r>
      <w:proofErr w:type="spellStart"/>
      <w:r w:rsidRPr="003A7980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multi-indicadores</w:t>
      </w:r>
      <w:proofErr w:type="spellEnd"/>
      <w:r w:rsidRPr="003A7980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, fortemente baseada em </w:t>
      </w:r>
      <w:r w:rsidRPr="003A7980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variáveis sociais, económicas, operacionais e institucionais</w:t>
      </w:r>
      <w:r w:rsidRPr="003A7980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, agregadas por </w:t>
      </w:r>
      <w:r w:rsidRPr="003A7980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pesos fixos</w:t>
      </w:r>
      <w:r w:rsidRPr="003A7980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.</w:t>
      </w:r>
    </w:p>
    <w:p w14:paraId="26077269" w14:textId="77777777" w:rsidR="003A7980" w:rsidRPr="003A7980" w:rsidRDefault="003A7980" w:rsidP="003A7980">
      <w:pPr>
        <w:spacing w:before="100" w:beforeAutospacing="1" w:after="100" w:afterAutospacing="1"/>
        <w:outlineLvl w:val="2"/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</w:pPr>
      <w:r w:rsidRPr="003A7980"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  <w:t>1. Conceito de resiliência adotado</w:t>
      </w:r>
    </w:p>
    <w:p w14:paraId="06BCF293" w14:textId="77777777" w:rsidR="003A7980" w:rsidRPr="003A7980" w:rsidRDefault="003A7980" w:rsidP="003A7980">
      <w:pPr>
        <w:numPr>
          <w:ilvl w:val="0"/>
          <w:numId w:val="1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3A7980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Resiliência definida como a capacidade de:</w:t>
      </w:r>
    </w:p>
    <w:p w14:paraId="19B2AF5F" w14:textId="77777777" w:rsidR="003A7980" w:rsidRPr="003A7980" w:rsidRDefault="003A7980" w:rsidP="003A7980">
      <w:pPr>
        <w:numPr>
          <w:ilvl w:val="1"/>
          <w:numId w:val="1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3A7980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absorver o impacto</w:t>
      </w:r>
      <w:r w:rsidRPr="003A7980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,</w:t>
      </w:r>
    </w:p>
    <w:p w14:paraId="76FE8B4D" w14:textId="77777777" w:rsidR="003A7980" w:rsidRPr="003A7980" w:rsidRDefault="003A7980" w:rsidP="003A7980">
      <w:pPr>
        <w:numPr>
          <w:ilvl w:val="1"/>
          <w:numId w:val="1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3A7980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manter um nível de serviço aceitável</w:t>
      </w:r>
      <w:r w:rsidRPr="003A7980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,</w:t>
      </w:r>
    </w:p>
    <w:p w14:paraId="1E33073B" w14:textId="77777777" w:rsidR="003A7980" w:rsidRPr="003A7980" w:rsidRDefault="003A7980" w:rsidP="003A7980">
      <w:pPr>
        <w:numPr>
          <w:ilvl w:val="1"/>
          <w:numId w:val="1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3A7980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retornar (ou superar) o nível pré-evento em tempo razoável</w:t>
      </w:r>
      <w:r w:rsidRPr="003A7980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.</w:t>
      </w:r>
    </w:p>
    <w:p w14:paraId="26A91875" w14:textId="77777777" w:rsidR="003A7980" w:rsidRPr="003A7980" w:rsidRDefault="003A7980" w:rsidP="003A7980">
      <w:pPr>
        <w:numPr>
          <w:ilvl w:val="0"/>
          <w:numId w:val="1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3A7980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Estrutura cíclica explícita (Fig. 1):</w:t>
      </w:r>
    </w:p>
    <w:p w14:paraId="401C18EB" w14:textId="77777777" w:rsidR="003A7980" w:rsidRPr="003A7980" w:rsidRDefault="003A7980" w:rsidP="003A7980">
      <w:pPr>
        <w:numPr>
          <w:ilvl w:val="1"/>
          <w:numId w:val="1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proofErr w:type="spellStart"/>
      <w:r w:rsidRPr="003A7980">
        <w:rPr>
          <w:rFonts w:eastAsia="Times New Roman" w:cs="Times New Roman"/>
          <w:i/>
          <w:iCs/>
          <w:kern w:val="0"/>
          <w:sz w:val="24"/>
          <w:szCs w:val="24"/>
          <w:lang w:eastAsia="pt-PT"/>
          <w14:ligatures w14:val="none"/>
        </w:rPr>
        <w:t>Normalcy</w:t>
      </w:r>
      <w:proofErr w:type="spellEnd"/>
      <w:r w:rsidRPr="003A7980">
        <w:rPr>
          <w:rFonts w:eastAsia="Times New Roman" w:cs="Times New Roman"/>
          <w:i/>
          <w:iCs/>
          <w:kern w:val="0"/>
          <w:sz w:val="24"/>
          <w:szCs w:val="24"/>
          <w:lang w:eastAsia="pt-PT"/>
          <w14:ligatures w14:val="none"/>
        </w:rPr>
        <w:t xml:space="preserve"> → </w:t>
      </w:r>
      <w:proofErr w:type="spellStart"/>
      <w:r w:rsidRPr="003A7980">
        <w:rPr>
          <w:rFonts w:eastAsia="Times New Roman" w:cs="Times New Roman"/>
          <w:i/>
          <w:iCs/>
          <w:kern w:val="0"/>
          <w:sz w:val="24"/>
          <w:szCs w:val="24"/>
          <w:lang w:eastAsia="pt-PT"/>
          <w14:ligatures w14:val="none"/>
        </w:rPr>
        <w:t>Breakdown</w:t>
      </w:r>
      <w:proofErr w:type="spellEnd"/>
      <w:r w:rsidRPr="003A7980">
        <w:rPr>
          <w:rFonts w:eastAsia="Times New Roman" w:cs="Times New Roman"/>
          <w:i/>
          <w:iCs/>
          <w:kern w:val="0"/>
          <w:sz w:val="24"/>
          <w:szCs w:val="24"/>
          <w:lang w:eastAsia="pt-PT"/>
          <w14:ligatures w14:val="none"/>
        </w:rPr>
        <w:t xml:space="preserve"> → </w:t>
      </w:r>
      <w:proofErr w:type="spellStart"/>
      <w:r w:rsidRPr="003A7980">
        <w:rPr>
          <w:rFonts w:eastAsia="Times New Roman" w:cs="Times New Roman"/>
          <w:i/>
          <w:iCs/>
          <w:kern w:val="0"/>
          <w:sz w:val="24"/>
          <w:szCs w:val="24"/>
          <w:lang w:eastAsia="pt-PT"/>
          <w14:ligatures w14:val="none"/>
        </w:rPr>
        <w:t>Annealing</w:t>
      </w:r>
      <w:proofErr w:type="spellEnd"/>
      <w:r w:rsidRPr="003A7980">
        <w:rPr>
          <w:rFonts w:eastAsia="Times New Roman" w:cs="Times New Roman"/>
          <w:i/>
          <w:iCs/>
          <w:kern w:val="0"/>
          <w:sz w:val="24"/>
          <w:szCs w:val="24"/>
          <w:lang w:eastAsia="pt-PT"/>
          <w14:ligatures w14:val="none"/>
        </w:rPr>
        <w:t xml:space="preserve"> → </w:t>
      </w:r>
      <w:proofErr w:type="spellStart"/>
      <w:r w:rsidRPr="003A7980">
        <w:rPr>
          <w:rFonts w:eastAsia="Times New Roman" w:cs="Times New Roman"/>
          <w:i/>
          <w:iCs/>
          <w:kern w:val="0"/>
          <w:sz w:val="24"/>
          <w:szCs w:val="24"/>
          <w:lang w:eastAsia="pt-PT"/>
          <w14:ligatures w14:val="none"/>
        </w:rPr>
        <w:t>Recovery</w:t>
      </w:r>
      <w:proofErr w:type="spellEnd"/>
      <w:r w:rsidRPr="003A7980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.</w:t>
      </w:r>
    </w:p>
    <w:p w14:paraId="10F4D61A" w14:textId="77777777" w:rsidR="003A7980" w:rsidRPr="003A7980" w:rsidRDefault="003A7980" w:rsidP="003A7980">
      <w:pPr>
        <w:numPr>
          <w:ilvl w:val="0"/>
          <w:numId w:val="1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3A7980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Conceitualmente alinhado com </w:t>
      </w:r>
      <w:proofErr w:type="spellStart"/>
      <w:r w:rsidRPr="003A7980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Bruneau</w:t>
      </w:r>
      <w:proofErr w:type="spellEnd"/>
      <w:r w:rsidRPr="003A7980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</w:t>
      </w:r>
      <w:proofErr w:type="spellStart"/>
      <w:r w:rsidRPr="003A7980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et</w:t>
      </w:r>
      <w:proofErr w:type="spellEnd"/>
      <w:r w:rsidRPr="003A7980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al. (2003), mas </w:t>
      </w:r>
      <w:r w:rsidRPr="003A7980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sem formalismo matemático contínuo</w:t>
      </w:r>
      <w:r w:rsidRPr="003A7980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.</w:t>
      </w:r>
    </w:p>
    <w:p w14:paraId="1BC6580C" w14:textId="77777777" w:rsidR="003A7980" w:rsidRPr="003A7980" w:rsidRDefault="003A7980" w:rsidP="003A7980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3A7980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pict w14:anchorId="71BB75C9">
          <v:rect id="_x0000_i1025" style="width:0;height:1.5pt" o:hralign="center" o:hrstd="t" o:hr="t" fillcolor="#a0a0a0" stroked="f"/>
        </w:pict>
      </w:r>
    </w:p>
    <w:p w14:paraId="232C8B78" w14:textId="77777777" w:rsidR="003A7980" w:rsidRPr="003A7980" w:rsidRDefault="003A7980" w:rsidP="003A7980">
      <w:pPr>
        <w:spacing w:before="100" w:beforeAutospacing="1" w:after="100" w:afterAutospacing="1"/>
        <w:outlineLvl w:val="2"/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</w:pPr>
      <w:r w:rsidRPr="003A7980"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  <w:t>2. Estrutura metodológica</w:t>
      </w:r>
    </w:p>
    <w:p w14:paraId="7EEF3C87" w14:textId="77777777" w:rsidR="003A7980" w:rsidRPr="003A7980" w:rsidRDefault="003A7980" w:rsidP="003A7980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3A7980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A metodologia organiza a resiliência em </w:t>
      </w:r>
      <w:r w:rsidRPr="003A7980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4 grupos principais de métricas</w:t>
      </w:r>
      <w:r w:rsidRPr="003A7980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:</w:t>
      </w:r>
    </w:p>
    <w:p w14:paraId="3AF20140" w14:textId="77777777" w:rsidR="003A7980" w:rsidRPr="003A7980" w:rsidRDefault="003A7980" w:rsidP="003A7980">
      <w:pPr>
        <w:numPr>
          <w:ilvl w:val="0"/>
          <w:numId w:val="2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3A7980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Individual</w:t>
      </w:r>
      <w:r w:rsidRPr="003A7980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(mobilidade, custo, modo de transporte);</w:t>
      </w:r>
    </w:p>
    <w:p w14:paraId="7126D7FA" w14:textId="77777777" w:rsidR="003A7980" w:rsidRPr="003A7980" w:rsidRDefault="003A7980" w:rsidP="003A7980">
      <w:pPr>
        <w:numPr>
          <w:ilvl w:val="0"/>
          <w:numId w:val="2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3A7980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Comunidade</w:t>
      </w:r>
      <w:r w:rsidRPr="003A7980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(redundância, alinhamento da infraestrutura, acesso a bens);</w:t>
      </w:r>
    </w:p>
    <w:p w14:paraId="7A3888F4" w14:textId="77777777" w:rsidR="003A7980" w:rsidRPr="003A7980" w:rsidRDefault="003A7980" w:rsidP="003A7980">
      <w:pPr>
        <w:numPr>
          <w:ilvl w:val="0"/>
          <w:numId w:val="2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3A7980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Económica</w:t>
      </w:r>
      <w:r w:rsidRPr="003A7980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(custos de transporte, acesso a energia e combustível);</w:t>
      </w:r>
    </w:p>
    <w:p w14:paraId="65EAF1A6" w14:textId="77777777" w:rsidR="003A7980" w:rsidRPr="003A7980" w:rsidRDefault="003A7980" w:rsidP="003A7980">
      <w:pPr>
        <w:numPr>
          <w:ilvl w:val="0"/>
          <w:numId w:val="2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3A7980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Recuperação</w:t>
      </w:r>
      <w:r w:rsidRPr="003A7980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(tempo de resposta, recursos disponíveis).</w:t>
      </w:r>
    </w:p>
    <w:p w14:paraId="014554A3" w14:textId="77777777" w:rsidR="003A7980" w:rsidRPr="003A7980" w:rsidRDefault="003A7980" w:rsidP="003A7980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3A7980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Características críticas:</w:t>
      </w:r>
    </w:p>
    <w:p w14:paraId="5BCC90D5" w14:textId="77777777" w:rsidR="003A7980" w:rsidRPr="003A7980" w:rsidRDefault="003A7980" w:rsidP="003A7980">
      <w:pPr>
        <w:numPr>
          <w:ilvl w:val="0"/>
          <w:numId w:val="3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3A7980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Variáveis avaliadas em escala </w:t>
      </w:r>
      <w:r w:rsidRPr="003A7980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qualitativa (</w:t>
      </w:r>
      <w:proofErr w:type="spellStart"/>
      <w:r w:rsidRPr="003A7980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low</w:t>
      </w:r>
      <w:proofErr w:type="spellEnd"/>
      <w:r w:rsidRPr="003A7980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 xml:space="preserve"> / </w:t>
      </w:r>
      <w:proofErr w:type="spellStart"/>
      <w:r w:rsidRPr="003A7980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medium</w:t>
      </w:r>
      <w:proofErr w:type="spellEnd"/>
      <w:r w:rsidRPr="003A7980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 xml:space="preserve"> / </w:t>
      </w:r>
      <w:proofErr w:type="spellStart"/>
      <w:r w:rsidRPr="003A7980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high</w:t>
      </w:r>
      <w:proofErr w:type="spellEnd"/>
      <w:r w:rsidRPr="003A7980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)</w:t>
      </w:r>
      <w:r w:rsidRPr="003A7980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;</w:t>
      </w:r>
    </w:p>
    <w:p w14:paraId="51DD2E3F" w14:textId="77777777" w:rsidR="003A7980" w:rsidRPr="003A7980" w:rsidRDefault="003A7980" w:rsidP="003A7980">
      <w:pPr>
        <w:numPr>
          <w:ilvl w:val="0"/>
          <w:numId w:val="3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3A7980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Conversão para valores discretos (1–3);</w:t>
      </w:r>
    </w:p>
    <w:p w14:paraId="2D43F749" w14:textId="77777777" w:rsidR="003A7980" w:rsidRPr="003A7980" w:rsidRDefault="003A7980" w:rsidP="003A7980">
      <w:pPr>
        <w:numPr>
          <w:ilvl w:val="0"/>
          <w:numId w:val="3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3A7980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Pesos iguais dentro de cada grupo</w:t>
      </w:r>
      <w:r w:rsidRPr="003A7980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e </w:t>
      </w:r>
      <w:r w:rsidRPr="003A7980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pesos fixos entre grupos</w:t>
      </w:r>
      <w:r w:rsidRPr="003A7980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;</w:t>
      </w:r>
    </w:p>
    <w:p w14:paraId="2372818A" w14:textId="77777777" w:rsidR="003A7980" w:rsidRPr="003A7980" w:rsidRDefault="003A7980" w:rsidP="003A7980">
      <w:pPr>
        <w:numPr>
          <w:ilvl w:val="0"/>
          <w:numId w:val="3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proofErr w:type="gramStart"/>
      <w:r w:rsidRPr="003A7980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Resultado final</w:t>
      </w:r>
      <w:proofErr w:type="gramEnd"/>
      <w:r w:rsidRPr="003A7980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: </w:t>
      </w:r>
      <w:r w:rsidRPr="003A7980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índice agregado normalizado (0–1)</w:t>
      </w:r>
      <w:r w:rsidRPr="003A7980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, classificado em níveis (baixo → extremamente alto).</w:t>
      </w:r>
    </w:p>
    <w:p w14:paraId="7AE052B0" w14:textId="77777777" w:rsidR="003A7980" w:rsidRPr="003A7980" w:rsidRDefault="003A7980" w:rsidP="003A7980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3A7980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pict w14:anchorId="3FA287B8">
          <v:rect id="_x0000_i1026" style="width:0;height:1.5pt" o:hralign="center" o:hrstd="t" o:hr="t" fillcolor="#a0a0a0" stroked="f"/>
        </w:pict>
      </w:r>
    </w:p>
    <w:p w14:paraId="0AD115B0" w14:textId="77777777" w:rsidR="003A7980" w:rsidRPr="003A7980" w:rsidRDefault="003A7980" w:rsidP="003A7980">
      <w:pPr>
        <w:spacing w:before="100" w:beforeAutospacing="1" w:after="100" w:afterAutospacing="1"/>
        <w:outlineLvl w:val="2"/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</w:pPr>
      <w:r w:rsidRPr="003A7980"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  <w:t>3. Estudo de caso</w:t>
      </w:r>
    </w:p>
    <w:p w14:paraId="1239BC35" w14:textId="77777777" w:rsidR="003A7980" w:rsidRPr="003A7980" w:rsidRDefault="003A7980" w:rsidP="003A7980">
      <w:pPr>
        <w:numPr>
          <w:ilvl w:val="0"/>
          <w:numId w:val="4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3A7980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Aplicação a </w:t>
      </w:r>
      <w:proofErr w:type="spellStart"/>
      <w:r w:rsidRPr="003A7980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Salt</w:t>
      </w:r>
      <w:proofErr w:type="spellEnd"/>
      <w:r w:rsidRPr="003A7980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 xml:space="preserve"> </w:t>
      </w:r>
      <w:proofErr w:type="spellStart"/>
      <w:r w:rsidRPr="003A7980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Lake</w:t>
      </w:r>
      <w:proofErr w:type="spellEnd"/>
      <w:r w:rsidRPr="003A7980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 xml:space="preserve"> </w:t>
      </w:r>
      <w:proofErr w:type="spellStart"/>
      <w:r w:rsidRPr="003A7980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City</w:t>
      </w:r>
      <w:proofErr w:type="spellEnd"/>
      <w:r w:rsidRPr="003A7980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 xml:space="preserve"> (Utah)</w:t>
      </w:r>
      <w:r w:rsidRPr="003A7980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sob </w:t>
      </w:r>
      <w:r w:rsidRPr="003A7980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cenário sísmico</w:t>
      </w:r>
      <w:r w:rsidRPr="003A7980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(MMI).</w:t>
      </w:r>
    </w:p>
    <w:p w14:paraId="4BF60ABB" w14:textId="77777777" w:rsidR="003A7980" w:rsidRPr="003A7980" w:rsidRDefault="003A7980" w:rsidP="003A7980">
      <w:pPr>
        <w:numPr>
          <w:ilvl w:val="0"/>
          <w:numId w:val="4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3A7980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Resultado inicial: </w:t>
      </w:r>
      <w:r w:rsidRPr="003A7980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resiliência “alta”</w:t>
      </w:r>
      <w:r w:rsidRPr="003A7980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.</w:t>
      </w:r>
    </w:p>
    <w:p w14:paraId="39067ABB" w14:textId="77777777" w:rsidR="003A7980" w:rsidRPr="003A7980" w:rsidRDefault="003A7980" w:rsidP="003A7980">
      <w:pPr>
        <w:numPr>
          <w:ilvl w:val="0"/>
          <w:numId w:val="4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3A7980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Simulação de melhoria (ex.: acesso a bens e materiais) → </w:t>
      </w:r>
      <w:r w:rsidRPr="003A7980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resiliência “muito alta”</w:t>
      </w:r>
      <w:r w:rsidRPr="003A7980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.</w:t>
      </w:r>
    </w:p>
    <w:p w14:paraId="489F26C2" w14:textId="77777777" w:rsidR="003A7980" w:rsidRPr="003A7980" w:rsidRDefault="003A7980" w:rsidP="003A7980">
      <w:pPr>
        <w:numPr>
          <w:ilvl w:val="0"/>
          <w:numId w:val="4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3A7980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O método mostra utilidade como </w:t>
      </w:r>
      <w:r w:rsidRPr="003A7980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ferramenta de apoio à decisão</w:t>
      </w:r>
      <w:r w:rsidRPr="003A7980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para políticas públicas.</w:t>
      </w:r>
    </w:p>
    <w:p w14:paraId="1C9EBD9D" w14:textId="77777777" w:rsidR="003A7980" w:rsidRPr="003A7980" w:rsidRDefault="003A7980" w:rsidP="003A7980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3A7980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pict w14:anchorId="593D86AB">
          <v:rect id="_x0000_i1027" style="width:0;height:1.5pt" o:hralign="center" o:hrstd="t" o:hr="t" fillcolor="#a0a0a0" stroked="f"/>
        </w:pict>
      </w:r>
    </w:p>
    <w:p w14:paraId="10DD0169" w14:textId="77777777" w:rsidR="003A7980" w:rsidRPr="003A7980" w:rsidRDefault="003A7980" w:rsidP="003A7980">
      <w:pPr>
        <w:spacing w:before="100" w:beforeAutospacing="1" w:after="100" w:afterAutospacing="1"/>
        <w:outlineLvl w:val="2"/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</w:pPr>
      <w:r w:rsidRPr="003A7980"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  <w:lastRenderedPageBreak/>
        <w:t>4. Limitações técnicas (críticas para a sua tese)</w:t>
      </w:r>
    </w:p>
    <w:p w14:paraId="098BD6AA" w14:textId="77777777" w:rsidR="003A7980" w:rsidRPr="003A7980" w:rsidRDefault="003A7980" w:rsidP="003A7980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3A7980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Do ponto de vista de </w:t>
      </w:r>
      <w:r w:rsidRPr="003A7980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engenharia de sistemas elétricos e linhas de transmissão</w:t>
      </w:r>
      <w:r w:rsidRPr="003A7980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, as limitações são estruturais:</w:t>
      </w:r>
    </w:p>
    <w:p w14:paraId="54B6F01A" w14:textId="77777777" w:rsidR="003A7980" w:rsidRPr="003A7980" w:rsidRDefault="003A7980" w:rsidP="003A7980">
      <w:pPr>
        <w:numPr>
          <w:ilvl w:val="0"/>
          <w:numId w:val="5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3A7980">
        <w:rPr>
          <w:rFonts w:ascii="Segoe UI Emoji" w:eastAsia="Times New Roman" w:hAnsi="Segoe UI Emoji" w:cs="Segoe UI Emoji"/>
          <w:kern w:val="0"/>
          <w:sz w:val="24"/>
          <w:szCs w:val="24"/>
          <w:lang w:eastAsia="pt-PT"/>
          <w14:ligatures w14:val="none"/>
        </w:rPr>
        <w:t>❌</w:t>
      </w:r>
      <w:r w:rsidRPr="003A7980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Métricas </w:t>
      </w:r>
      <w:r w:rsidRPr="003A7980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não físicas</w:t>
      </w:r>
      <w:r w:rsidRPr="003A7980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(mobilidade, custo, modo de transporte);</w:t>
      </w:r>
    </w:p>
    <w:p w14:paraId="09260611" w14:textId="77777777" w:rsidR="003A7980" w:rsidRPr="003A7980" w:rsidRDefault="003A7980" w:rsidP="003A7980">
      <w:pPr>
        <w:numPr>
          <w:ilvl w:val="0"/>
          <w:numId w:val="5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3A7980">
        <w:rPr>
          <w:rFonts w:ascii="Segoe UI Emoji" w:eastAsia="Times New Roman" w:hAnsi="Segoe UI Emoji" w:cs="Segoe UI Emoji"/>
          <w:kern w:val="0"/>
          <w:sz w:val="24"/>
          <w:szCs w:val="24"/>
          <w:lang w:eastAsia="pt-PT"/>
          <w14:ligatures w14:val="none"/>
        </w:rPr>
        <w:t>❌</w:t>
      </w:r>
      <w:r w:rsidRPr="003A7980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Forte dependência de </w:t>
      </w:r>
      <w:proofErr w:type="spellStart"/>
      <w:r w:rsidRPr="003A7980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proxies</w:t>
      </w:r>
      <w:proofErr w:type="spellEnd"/>
      <w:r w:rsidRPr="003A7980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 xml:space="preserve"> sociais e institucionais</w:t>
      </w:r>
      <w:r w:rsidRPr="003A7980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;</w:t>
      </w:r>
    </w:p>
    <w:p w14:paraId="12C36DE1" w14:textId="77777777" w:rsidR="003A7980" w:rsidRPr="003A7980" w:rsidRDefault="003A7980" w:rsidP="003A7980">
      <w:pPr>
        <w:numPr>
          <w:ilvl w:val="0"/>
          <w:numId w:val="5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3A7980">
        <w:rPr>
          <w:rFonts w:ascii="Segoe UI Emoji" w:eastAsia="Times New Roman" w:hAnsi="Segoe UI Emoji" w:cs="Segoe UI Emoji"/>
          <w:kern w:val="0"/>
          <w:sz w:val="24"/>
          <w:szCs w:val="24"/>
          <w:lang w:eastAsia="pt-PT"/>
          <w14:ligatures w14:val="none"/>
        </w:rPr>
        <w:t>❌</w:t>
      </w:r>
      <w:r w:rsidRPr="003A7980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</w:t>
      </w:r>
      <w:r w:rsidRPr="003A7980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Pesos arbitrários</w:t>
      </w:r>
      <w:r w:rsidRPr="003A7980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, não calibrados fisicamente;</w:t>
      </w:r>
    </w:p>
    <w:p w14:paraId="6E5B10F3" w14:textId="77777777" w:rsidR="003A7980" w:rsidRPr="003A7980" w:rsidRDefault="003A7980" w:rsidP="003A7980">
      <w:pPr>
        <w:numPr>
          <w:ilvl w:val="0"/>
          <w:numId w:val="5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3A7980">
        <w:rPr>
          <w:rFonts w:ascii="Segoe UI Emoji" w:eastAsia="Times New Roman" w:hAnsi="Segoe UI Emoji" w:cs="Segoe UI Emoji"/>
          <w:kern w:val="0"/>
          <w:sz w:val="24"/>
          <w:szCs w:val="24"/>
          <w:lang w:eastAsia="pt-PT"/>
          <w14:ligatures w14:val="none"/>
        </w:rPr>
        <w:t>❌</w:t>
      </w:r>
      <w:r w:rsidRPr="003A7980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Ausência de:</w:t>
      </w:r>
    </w:p>
    <w:p w14:paraId="36A62DAB" w14:textId="77777777" w:rsidR="003A7980" w:rsidRPr="003A7980" w:rsidRDefault="003A7980" w:rsidP="003A7980">
      <w:pPr>
        <w:numPr>
          <w:ilvl w:val="1"/>
          <w:numId w:val="5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3A7980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taxas de falha,</w:t>
      </w:r>
    </w:p>
    <w:p w14:paraId="2032C879" w14:textId="77777777" w:rsidR="003A7980" w:rsidRPr="003A7980" w:rsidRDefault="003A7980" w:rsidP="003A7980">
      <w:pPr>
        <w:numPr>
          <w:ilvl w:val="1"/>
          <w:numId w:val="5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3A7980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modelos probabilísticos,</w:t>
      </w:r>
    </w:p>
    <w:p w14:paraId="57418B25" w14:textId="77777777" w:rsidR="003A7980" w:rsidRPr="003A7980" w:rsidRDefault="003A7980" w:rsidP="003A7980">
      <w:pPr>
        <w:numPr>
          <w:ilvl w:val="1"/>
          <w:numId w:val="5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3A7980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eventos climáticos como variáveis físicas,</w:t>
      </w:r>
    </w:p>
    <w:p w14:paraId="0883E555" w14:textId="77777777" w:rsidR="003A7980" w:rsidRPr="003A7980" w:rsidRDefault="003A7980" w:rsidP="003A7980">
      <w:pPr>
        <w:numPr>
          <w:ilvl w:val="1"/>
          <w:numId w:val="5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3A7980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curvas desempenho elétrico × tempo;</w:t>
      </w:r>
    </w:p>
    <w:p w14:paraId="4701AE04" w14:textId="77777777" w:rsidR="003A7980" w:rsidRPr="003A7980" w:rsidRDefault="003A7980" w:rsidP="003A7980">
      <w:pPr>
        <w:numPr>
          <w:ilvl w:val="0"/>
          <w:numId w:val="5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3A7980">
        <w:rPr>
          <w:rFonts w:ascii="Segoe UI Emoji" w:eastAsia="Times New Roman" w:hAnsi="Segoe UI Emoji" w:cs="Segoe UI Emoji"/>
          <w:kern w:val="0"/>
          <w:sz w:val="24"/>
          <w:szCs w:val="24"/>
          <w:lang w:eastAsia="pt-PT"/>
          <w14:ligatures w14:val="none"/>
        </w:rPr>
        <w:t>❌</w:t>
      </w:r>
      <w:r w:rsidRPr="003A7980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Não aplicável diretamente a </w:t>
      </w:r>
      <w:r w:rsidRPr="003A7980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linhas de transmissão</w:t>
      </w:r>
      <w:r w:rsidRPr="003A7980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ou </w:t>
      </w:r>
      <w:r w:rsidRPr="003A7980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capacidade elétrica</w:t>
      </w:r>
      <w:r w:rsidRPr="003A7980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.</w:t>
      </w:r>
    </w:p>
    <w:p w14:paraId="267DBBE0" w14:textId="77777777" w:rsidR="003A7980" w:rsidRPr="003A7980" w:rsidRDefault="003A7980" w:rsidP="003A7980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3A7980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Em essência, trata-se de um </w:t>
      </w:r>
      <w:r w:rsidRPr="003A7980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índice de resiliência territorial e socioeconómica</w:t>
      </w:r>
      <w:r w:rsidRPr="003A7980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, não de infraestrutura elétrica.</w:t>
      </w:r>
    </w:p>
    <w:p w14:paraId="2A2E3E3A" w14:textId="77777777" w:rsidR="00EE3772" w:rsidRPr="003A7980" w:rsidRDefault="00EE3772"/>
    <w:sectPr w:rsidR="00EE3772" w:rsidRPr="003A7980" w:rsidSect="00B7282F">
      <w:pgSz w:w="11906" w:h="16838" w:code="9"/>
      <w:pgMar w:top="1440" w:right="1457" w:bottom="1355" w:left="1797" w:header="720" w:footer="680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EB6029"/>
    <w:multiLevelType w:val="multilevel"/>
    <w:tmpl w:val="8D1011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85648AC"/>
    <w:multiLevelType w:val="multilevel"/>
    <w:tmpl w:val="5A0261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8E143A4"/>
    <w:multiLevelType w:val="multilevel"/>
    <w:tmpl w:val="4B9E6F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F071E81"/>
    <w:multiLevelType w:val="multilevel"/>
    <w:tmpl w:val="F4EEF3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42835419"/>
    <w:multiLevelType w:val="multilevel"/>
    <w:tmpl w:val="3A868F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72910981">
    <w:abstractNumId w:val="4"/>
  </w:num>
  <w:num w:numId="2" w16cid:durableId="572859597">
    <w:abstractNumId w:val="3"/>
  </w:num>
  <w:num w:numId="3" w16cid:durableId="1833569557">
    <w:abstractNumId w:val="0"/>
  </w:num>
  <w:num w:numId="4" w16cid:durableId="99374533">
    <w:abstractNumId w:val="1"/>
  </w:num>
  <w:num w:numId="5" w16cid:durableId="207808507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E3772"/>
    <w:rsid w:val="000131F2"/>
    <w:rsid w:val="00050A60"/>
    <w:rsid w:val="0007293B"/>
    <w:rsid w:val="0008424C"/>
    <w:rsid w:val="00096FFB"/>
    <w:rsid w:val="000C5A52"/>
    <w:rsid w:val="000C625D"/>
    <w:rsid w:val="000D45BD"/>
    <w:rsid w:val="00172112"/>
    <w:rsid w:val="00172264"/>
    <w:rsid w:val="00196796"/>
    <w:rsid w:val="001F4610"/>
    <w:rsid w:val="0022366E"/>
    <w:rsid w:val="0024739D"/>
    <w:rsid w:val="00285BB1"/>
    <w:rsid w:val="002A63F1"/>
    <w:rsid w:val="002F61AF"/>
    <w:rsid w:val="00347332"/>
    <w:rsid w:val="00386732"/>
    <w:rsid w:val="00393441"/>
    <w:rsid w:val="0039444F"/>
    <w:rsid w:val="003A7980"/>
    <w:rsid w:val="003F704C"/>
    <w:rsid w:val="004234AF"/>
    <w:rsid w:val="00423B9B"/>
    <w:rsid w:val="00435A17"/>
    <w:rsid w:val="004B5BB7"/>
    <w:rsid w:val="004E20B1"/>
    <w:rsid w:val="00502614"/>
    <w:rsid w:val="005272F0"/>
    <w:rsid w:val="0055062B"/>
    <w:rsid w:val="00595B01"/>
    <w:rsid w:val="005C7A7F"/>
    <w:rsid w:val="0061413D"/>
    <w:rsid w:val="006363A1"/>
    <w:rsid w:val="006B4413"/>
    <w:rsid w:val="006E78DB"/>
    <w:rsid w:val="00744A15"/>
    <w:rsid w:val="00785F46"/>
    <w:rsid w:val="007E0455"/>
    <w:rsid w:val="007E69F0"/>
    <w:rsid w:val="00804B85"/>
    <w:rsid w:val="008226B2"/>
    <w:rsid w:val="00863FDB"/>
    <w:rsid w:val="008C0D5E"/>
    <w:rsid w:val="009B0300"/>
    <w:rsid w:val="00A04542"/>
    <w:rsid w:val="00A74270"/>
    <w:rsid w:val="00A773DD"/>
    <w:rsid w:val="00A91291"/>
    <w:rsid w:val="00A94B20"/>
    <w:rsid w:val="00AA4524"/>
    <w:rsid w:val="00AC5231"/>
    <w:rsid w:val="00AD743E"/>
    <w:rsid w:val="00B023F4"/>
    <w:rsid w:val="00B30ED7"/>
    <w:rsid w:val="00B7282F"/>
    <w:rsid w:val="00B753F9"/>
    <w:rsid w:val="00B7708D"/>
    <w:rsid w:val="00B811CD"/>
    <w:rsid w:val="00B873AE"/>
    <w:rsid w:val="00BC1242"/>
    <w:rsid w:val="00BD2C19"/>
    <w:rsid w:val="00BF51C6"/>
    <w:rsid w:val="00C03A12"/>
    <w:rsid w:val="00CC6B35"/>
    <w:rsid w:val="00CE4C5C"/>
    <w:rsid w:val="00D25A09"/>
    <w:rsid w:val="00D36EA1"/>
    <w:rsid w:val="00D63D8E"/>
    <w:rsid w:val="00E26197"/>
    <w:rsid w:val="00E2772A"/>
    <w:rsid w:val="00E5575A"/>
    <w:rsid w:val="00ED59D0"/>
    <w:rsid w:val="00EE3772"/>
    <w:rsid w:val="00EF273B"/>
    <w:rsid w:val="00F27993"/>
    <w:rsid w:val="00F7611F"/>
    <w:rsid w:val="00F77278"/>
    <w:rsid w:val="00FE0A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97B0A07"/>
  <w15:chartTrackingRefBased/>
  <w15:docId w15:val="{B840DB7D-4386-4F42-A149-D8918B1096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PT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023F4"/>
    <w:pPr>
      <w:spacing w:after="0" w:line="240" w:lineRule="auto"/>
    </w:pPr>
    <w:rPr>
      <w:rFonts w:ascii="Times New Roman" w:hAnsi="Times New Roman"/>
      <w:kern w:val="2"/>
    </w:rPr>
  </w:style>
  <w:style w:type="paragraph" w:styleId="Heading1">
    <w:name w:val="heading 1"/>
    <w:basedOn w:val="Normal"/>
    <w:next w:val="Normal"/>
    <w:link w:val="Heading1Char"/>
    <w:uiPriority w:val="9"/>
    <w:qFormat/>
    <w:rsid w:val="00B7708D"/>
    <w:pPr>
      <w:keepNext/>
      <w:keepLines/>
      <w:spacing w:before="480"/>
      <w:outlineLvl w:val="0"/>
    </w:pPr>
    <w:rPr>
      <w:rFonts w:eastAsiaTheme="majorEastAsia" w:cstheme="majorBidi"/>
      <w:b/>
      <w:bCs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7708D"/>
    <w:pPr>
      <w:keepNext/>
      <w:keepLines/>
      <w:spacing w:before="200"/>
      <w:outlineLvl w:val="1"/>
    </w:pPr>
    <w:rPr>
      <w:rFonts w:eastAsiaTheme="majorEastAsia" w:cstheme="majorBidi"/>
      <w:b/>
      <w:bCs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B7708D"/>
    <w:pPr>
      <w:keepNext/>
      <w:keepLines/>
      <w:spacing w:before="200"/>
      <w:outlineLvl w:val="2"/>
    </w:pPr>
    <w:rPr>
      <w:rFonts w:eastAsiaTheme="majorEastAsia" w:cstheme="majorBidi"/>
      <w:b/>
      <w:bCs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7708D"/>
    <w:pPr>
      <w:keepNext/>
      <w:keepLines/>
      <w:spacing w:before="200"/>
      <w:outlineLvl w:val="3"/>
    </w:pPr>
    <w:rPr>
      <w:rFonts w:eastAsiaTheme="majorEastAsia" w:cstheme="majorBidi"/>
      <w:b/>
      <w:bCs/>
      <w:i/>
      <w:iCs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E3772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E3772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E3772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E3772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E3772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708D"/>
    <w:rPr>
      <w:rFonts w:ascii="Times New Roman" w:eastAsiaTheme="majorEastAsia" w:hAnsi="Times New Roman" w:cstheme="majorBidi"/>
      <w:b/>
      <w:bCs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B7708D"/>
    <w:rPr>
      <w:rFonts w:ascii="Times New Roman" w:eastAsiaTheme="majorEastAsia" w:hAnsi="Times New Roman" w:cstheme="majorBidi"/>
      <w:b/>
      <w:bCs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B7708D"/>
    <w:rPr>
      <w:rFonts w:ascii="Times New Roman" w:eastAsiaTheme="majorEastAsia" w:hAnsi="Times New Roman" w:cstheme="majorBidi"/>
      <w:b/>
      <w:bCs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7708D"/>
    <w:rPr>
      <w:rFonts w:ascii="Times New Roman" w:eastAsiaTheme="majorEastAsia" w:hAnsi="Times New Roman" w:cstheme="majorBidi"/>
      <w:b/>
      <w:bCs/>
      <w:i/>
      <w:iCs/>
    </w:rPr>
  </w:style>
  <w:style w:type="paragraph" w:styleId="Title">
    <w:name w:val="Title"/>
    <w:basedOn w:val="Normal"/>
    <w:next w:val="Normal"/>
    <w:link w:val="TitleChar"/>
    <w:uiPriority w:val="10"/>
    <w:qFormat/>
    <w:rsid w:val="00B7708D"/>
    <w:pPr>
      <w:pBdr>
        <w:bottom w:val="single" w:sz="8" w:space="4" w:color="auto"/>
      </w:pBdr>
      <w:spacing w:after="300"/>
      <w:contextualSpacing/>
    </w:pPr>
    <w:rPr>
      <w:rFonts w:eastAsiaTheme="majorEastAsia" w:cstheme="majorBidi"/>
      <w:spacing w:val="5"/>
      <w:kern w:val="28"/>
      <w:sz w:val="3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B7708D"/>
    <w:rPr>
      <w:rFonts w:ascii="Times New Roman" w:eastAsiaTheme="majorEastAsia" w:hAnsi="Times New Roman" w:cstheme="majorBidi"/>
      <w:spacing w:val="5"/>
      <w:kern w:val="28"/>
      <w:sz w:val="3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B7708D"/>
    <w:pPr>
      <w:numPr>
        <w:ilvl w:val="1"/>
      </w:numPr>
    </w:pPr>
    <w:rPr>
      <w:rFonts w:eastAsiaTheme="majorEastAsia" w:cstheme="majorBidi"/>
      <w:i/>
      <w:iCs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B7708D"/>
    <w:rPr>
      <w:rFonts w:ascii="Times New Roman" w:eastAsiaTheme="majorEastAsia" w:hAnsi="Times New Roman" w:cstheme="majorBidi"/>
      <w:i/>
      <w:iCs/>
      <w:spacing w:val="15"/>
      <w:sz w:val="24"/>
      <w:szCs w:val="24"/>
    </w:rPr>
  </w:style>
  <w:style w:type="paragraph" w:styleId="Quote">
    <w:name w:val="Quote"/>
    <w:basedOn w:val="Normal"/>
    <w:next w:val="Normal"/>
    <w:link w:val="QuoteChar"/>
    <w:uiPriority w:val="29"/>
    <w:qFormat/>
    <w:rsid w:val="00B7708D"/>
    <w:rPr>
      <w:i/>
      <w:iCs/>
    </w:rPr>
  </w:style>
  <w:style w:type="character" w:customStyle="1" w:styleId="QuoteChar">
    <w:name w:val="Quote Char"/>
    <w:basedOn w:val="DefaultParagraphFont"/>
    <w:link w:val="Quote"/>
    <w:uiPriority w:val="29"/>
    <w:rsid w:val="00B7708D"/>
    <w:rPr>
      <w:rFonts w:ascii="Times New Roman" w:hAnsi="Times New Roman"/>
      <w:i/>
      <w:iCs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E3772"/>
    <w:rPr>
      <w:rFonts w:eastAsiaTheme="majorEastAsia" w:cstheme="majorBidi"/>
      <w:color w:val="0F4761" w:themeColor="accent1" w:themeShade="BF"/>
      <w:kern w:val="2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E3772"/>
    <w:rPr>
      <w:rFonts w:eastAsiaTheme="majorEastAsia" w:cstheme="majorBidi"/>
      <w:i/>
      <w:iCs/>
      <w:color w:val="595959" w:themeColor="text1" w:themeTint="A6"/>
      <w:kern w:val="2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E3772"/>
    <w:rPr>
      <w:rFonts w:eastAsiaTheme="majorEastAsia" w:cstheme="majorBidi"/>
      <w:color w:val="595959" w:themeColor="text1" w:themeTint="A6"/>
      <w:kern w:val="2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E3772"/>
    <w:rPr>
      <w:rFonts w:eastAsiaTheme="majorEastAsia" w:cstheme="majorBidi"/>
      <w:i/>
      <w:iCs/>
      <w:color w:val="272727" w:themeColor="text1" w:themeTint="D8"/>
      <w:kern w:val="2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E3772"/>
    <w:rPr>
      <w:rFonts w:eastAsiaTheme="majorEastAsia" w:cstheme="majorBidi"/>
      <w:color w:val="272727" w:themeColor="text1" w:themeTint="D8"/>
      <w:kern w:val="2"/>
    </w:rPr>
  </w:style>
  <w:style w:type="paragraph" w:styleId="ListParagraph">
    <w:name w:val="List Paragraph"/>
    <w:basedOn w:val="Normal"/>
    <w:uiPriority w:val="34"/>
    <w:qFormat/>
    <w:rsid w:val="00EE377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E377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E377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E3772"/>
    <w:rPr>
      <w:rFonts w:ascii="Times New Roman" w:hAnsi="Times New Roman"/>
      <w:i/>
      <w:iCs/>
      <w:color w:val="0F4761" w:themeColor="accent1" w:themeShade="BF"/>
      <w:kern w:val="2"/>
    </w:rPr>
  </w:style>
  <w:style w:type="character" w:styleId="IntenseReference">
    <w:name w:val="Intense Reference"/>
    <w:basedOn w:val="DefaultParagraphFont"/>
    <w:uiPriority w:val="32"/>
    <w:qFormat/>
    <w:rsid w:val="00EE3772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3A7980"/>
    <w:pPr>
      <w:spacing w:before="100" w:beforeAutospacing="1" w:after="100" w:afterAutospacing="1"/>
    </w:pPr>
    <w:rPr>
      <w:rFonts w:eastAsia="Times New Roman" w:cs="Times New Roman"/>
      <w:kern w:val="0"/>
      <w:sz w:val="24"/>
      <w:szCs w:val="24"/>
      <w:lang w:eastAsia="pt-PT"/>
      <w14:ligatures w14:val="none"/>
    </w:rPr>
  </w:style>
  <w:style w:type="character" w:styleId="Strong">
    <w:name w:val="Strong"/>
    <w:basedOn w:val="DefaultParagraphFont"/>
    <w:uiPriority w:val="22"/>
    <w:qFormat/>
    <w:rsid w:val="003A7980"/>
    <w:rPr>
      <w:b/>
      <w:bCs/>
    </w:rPr>
  </w:style>
  <w:style w:type="character" w:styleId="Emphasis">
    <w:name w:val="Emphasis"/>
    <w:basedOn w:val="DefaultParagraphFont"/>
    <w:uiPriority w:val="20"/>
    <w:qFormat/>
    <w:rsid w:val="003A7980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367</Words>
  <Characters>1985</Characters>
  <Application>Microsoft Office Word</Application>
  <DocSecurity>0</DocSecurity>
  <Lines>16</Lines>
  <Paragraphs>4</Paragraphs>
  <ScaleCrop>false</ScaleCrop>
  <Company/>
  <LinksUpToDate>false</LinksUpToDate>
  <CharactersWithSpaces>2348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Paulo Oliveira</dc:creator>
  <cp:keywords/>
  <dc:description/>
  <cp:lastModifiedBy>Paulo Oliveira</cp:lastModifiedBy>
  <cp:revision>2</cp:revision>
  <dcterms:created xsi:type="dcterms:W3CDTF">2025-12-31T18:40:00Z</dcterms:created>
  <dcterms:modified xsi:type="dcterms:W3CDTF">2025-12-31T18:41:00Z</dcterms:modified>
</cp:coreProperties>
</file>