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76FD" w14:textId="4842444C" w:rsidR="00AC5231" w:rsidRDefault="008959C6">
      <w:pPr>
        <w:rPr>
          <w:lang w:val="en-US"/>
        </w:rPr>
      </w:pPr>
      <w:r w:rsidRPr="008959C6">
        <w:rPr>
          <w:lang w:val="en-US"/>
        </w:rPr>
        <w:t>Analysis of Reliability and Resilience for Smart Grids</w:t>
      </w:r>
    </w:p>
    <w:p w14:paraId="720DA5C5" w14:textId="77777777" w:rsidR="008959C6" w:rsidRDefault="008959C6">
      <w:pPr>
        <w:rPr>
          <w:lang w:val="en-US"/>
        </w:rPr>
      </w:pPr>
    </w:p>
    <w:p w14:paraId="3FDB8467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propõe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separação formal entre confiabilidade (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e resiliência (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aplicada a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ciberfísicas</w:t>
      </w:r>
      <w:proofErr w:type="spellEnd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utilizando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modelagem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Markoviana</w:t>
      </w:r>
      <w:proofErr w:type="spellEnd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confiabilidade e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temporal de recuperação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resiliência. A aplicação é demonstrada no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IEEE 9-bus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análise de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cascading</w:t>
      </w:r>
      <w:proofErr w:type="spellEnd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failures</w:t>
      </w:r>
      <w:proofErr w:type="spellEnd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restauração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733BAF" w14:textId="77777777" w:rsidR="003C73D2" w:rsidRPr="003C73D2" w:rsidRDefault="003C73D2" w:rsidP="003C73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E82E8B">
          <v:rect id="_x0000_i1025" style="width:0;height:1.5pt" o:hralign="center" o:hrstd="t" o:hr="t" fillcolor="#a0a0a0" stroked="f"/>
        </w:pict>
      </w:r>
    </w:p>
    <w:p w14:paraId="56C5815D" w14:textId="77777777" w:rsidR="003C73D2" w:rsidRPr="003C73D2" w:rsidRDefault="003C73D2" w:rsidP="003C73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Contribuições técnicas centrais</w:t>
      </w:r>
    </w:p>
    <w:p w14:paraId="7200AFFD" w14:textId="77777777" w:rsidR="003C73D2" w:rsidRPr="003C73D2" w:rsidRDefault="003C73D2" w:rsidP="003C73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1.1 Separação clara: confiabilidade × resiliência</w:t>
      </w:r>
    </w:p>
    <w:p w14:paraId="1F6C69A2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faz uma distinção conceitual correta e alinhada com a literatura clássica:</w:t>
      </w:r>
    </w:p>
    <w:p w14:paraId="1D1D34E9" w14:textId="77777777" w:rsidR="003C73D2" w:rsidRPr="003C73D2" w:rsidRDefault="003C73D2" w:rsidP="003C73D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48385F2" w14:textId="77777777" w:rsidR="003C73D2" w:rsidRPr="003C73D2" w:rsidRDefault="003C73D2" w:rsidP="003C73D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binária (</w:t>
      </w:r>
      <w:r w:rsidRPr="003C73D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funcional / falhado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4B64A57" w14:textId="77777777" w:rsidR="003C73D2" w:rsidRPr="003C73D2" w:rsidRDefault="003C73D2" w:rsidP="003C73D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Avaliada até o instante do evento disruptivo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sub>
        </m:sSub>
      </m:oMath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4EB2A4" w14:textId="77777777" w:rsidR="003C73D2" w:rsidRPr="003C73D2" w:rsidRDefault="003C73D2" w:rsidP="003C73D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Incapaz de representar operação degradada ou recuperação.</w:t>
      </w:r>
    </w:p>
    <w:p w14:paraId="0627F88D" w14:textId="77777777" w:rsidR="003C73D2" w:rsidRPr="003C73D2" w:rsidRDefault="003C73D2" w:rsidP="003C73D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676EAD3" w14:textId="77777777" w:rsidR="003C73D2" w:rsidRPr="003C73D2" w:rsidRDefault="003C73D2" w:rsidP="003C73D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pós-falha;</w:t>
      </w:r>
    </w:p>
    <w:p w14:paraId="5B1B83EE" w14:textId="77777777" w:rsidR="003C73D2" w:rsidRPr="003C73D2" w:rsidRDefault="003C73D2" w:rsidP="003C73D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 a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recuperação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até um estado funcional aceitável;</w:t>
      </w:r>
    </w:p>
    <w:p w14:paraId="49A13526" w14:textId="77777777" w:rsidR="003C73D2" w:rsidRPr="003C73D2" w:rsidRDefault="003C73D2" w:rsidP="003C73D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Explicitamente dependente do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do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funcionalidade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80DE07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distinção está em linha com </w:t>
      </w:r>
      <w:proofErr w:type="spellStart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(2003) e Henry &amp; Ramirez-</w:t>
      </w:r>
      <w:proofErr w:type="spellStart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Marquez</w:t>
      </w:r>
      <w:proofErr w:type="spellEnd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(2012).</w:t>
      </w:r>
    </w:p>
    <w:p w14:paraId="12D2899D" w14:textId="77777777" w:rsidR="003C73D2" w:rsidRPr="003C73D2" w:rsidRDefault="003C73D2" w:rsidP="003C73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4E4B76">
          <v:rect id="_x0000_i1026" style="width:0;height:1.5pt" o:hralign="center" o:hrstd="t" o:hr="t" fillcolor="#a0a0a0" stroked="f"/>
        </w:pict>
      </w:r>
    </w:p>
    <w:p w14:paraId="31F6020F" w14:textId="77777777" w:rsidR="003C73D2" w:rsidRPr="003C73D2" w:rsidRDefault="003C73D2" w:rsidP="003C73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1.2 Formulação explícita da métrica de resiliência</w:t>
      </w:r>
    </w:p>
    <w:p w14:paraId="45B9D1DD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como:</w:t>
      </w:r>
    </w:p>
    <w:p w14:paraId="04B4F204" w14:textId="77777777" w:rsidR="003C73D2" w:rsidRPr="003C73D2" w:rsidRDefault="003C73D2" w:rsidP="003C73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F(t)-F(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)-F(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,0≤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(t)≤1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CB5380E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F343831" w14:textId="77777777" w:rsidR="003C73D2" w:rsidRPr="003C73D2" w:rsidRDefault="003C73D2" w:rsidP="003C73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F(t)</m:t>
        </m:r>
      </m:oMath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uma métrica funcional do sistema (ex.: violações de fluxo ou tensão);</w:t>
      </w:r>
    </w:p>
    <w:p w14:paraId="515C981A" w14:textId="77777777" w:rsidR="003C73D2" w:rsidRPr="003C73D2" w:rsidRDefault="003C73D2" w:rsidP="003C73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</m:oMath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representa o ponto de falha catastrófica;</w:t>
      </w:r>
    </w:p>
    <w:p w14:paraId="6843F14A" w14:textId="77777777" w:rsidR="003C73D2" w:rsidRPr="003C73D2" w:rsidRDefault="003C73D2" w:rsidP="003C73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estado totalmente funcional.</w:t>
      </w:r>
    </w:p>
    <w:p w14:paraId="118C878A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formulação é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simples, normalizada e diretamente comparável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outros índices baseados em desempenho × tempo.</w:t>
      </w:r>
    </w:p>
    <w:p w14:paraId="573882F0" w14:textId="77777777" w:rsidR="003C73D2" w:rsidRPr="003C73D2" w:rsidRDefault="003C73D2" w:rsidP="003C73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EB1B3D9">
          <v:rect id="_x0000_i1027" style="width:0;height:1.5pt" o:hralign="center" o:hrstd="t" o:hr="t" fillcolor="#a0a0a0" stroked="f"/>
        </w:pict>
      </w:r>
    </w:p>
    <w:p w14:paraId="2E0407CE" w14:textId="77777777" w:rsidR="003C73D2" w:rsidRPr="003C73D2" w:rsidRDefault="003C73D2" w:rsidP="003C73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1.3 Uso de métricas elétricas reais</w:t>
      </w:r>
    </w:p>
    <w:p w14:paraId="6BAC42C6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avaliar a resiliência, os autores utilizam:</w:t>
      </w:r>
    </w:p>
    <w:p w14:paraId="4A8A9712" w14:textId="77777777" w:rsidR="003C73D2" w:rsidRPr="003C73D2" w:rsidRDefault="003C73D2" w:rsidP="003C73D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Violações de fluxo em linhas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D2722B" w14:textId="77777777" w:rsidR="003C73D2" w:rsidRPr="003C73D2" w:rsidRDefault="003C73D2" w:rsidP="003C73D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Violações de tensão em barramentos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72B34A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métricas são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significativas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diferentemente de </w:t>
      </w:r>
      <w:proofErr w:type="spellStart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proxies</w:t>
      </w:r>
      <w:proofErr w:type="spellEnd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sociais ou qualitativos, o que reforça a relevância engenheiral do trabalho.</w:t>
      </w:r>
    </w:p>
    <w:p w14:paraId="6854E54A" w14:textId="77777777" w:rsidR="003C73D2" w:rsidRPr="003C73D2" w:rsidRDefault="003C73D2" w:rsidP="003C73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4D7EB2">
          <v:rect id="_x0000_i1028" style="width:0;height:1.5pt" o:hralign="center" o:hrstd="t" o:hr="t" fillcolor="#a0a0a0" stroked="f"/>
        </w:pict>
      </w:r>
    </w:p>
    <w:p w14:paraId="1BED25B2" w14:textId="77777777" w:rsidR="003C73D2" w:rsidRPr="003C73D2" w:rsidRDefault="003C73D2" w:rsidP="003C73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1.4 Comparação de estratégias de recuperação</w:t>
      </w:r>
    </w:p>
    <w:p w14:paraId="73CBE106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como a métrica de resiliência pode ser usada para:</w:t>
      </w:r>
    </w:p>
    <w:p w14:paraId="6F848855" w14:textId="77777777" w:rsidR="003C73D2" w:rsidRPr="003C73D2" w:rsidRDefault="003C73D2" w:rsidP="003C73D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sequências distintas de restauração de linhas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6F071C" w14:textId="77777777" w:rsidR="003C73D2" w:rsidRPr="003C73D2" w:rsidRDefault="003C73D2" w:rsidP="003C73D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estratégias que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restauram funcionalidade mais rapidamente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que o estado final seja o mesmo.</w:t>
      </w:r>
    </w:p>
    <w:p w14:paraId="20709C1C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ponto é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relevante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estudos de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pós-evento extremo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2196F8" w14:textId="77777777" w:rsidR="003C73D2" w:rsidRPr="003C73D2" w:rsidRDefault="003C73D2" w:rsidP="003C73D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025DF6">
          <v:rect id="_x0000_i1029" style="width:0;height:1.5pt" o:hralign="center" o:hrstd="t" o:hr="t" fillcolor="#a0a0a0" stroked="f"/>
        </w:pict>
      </w:r>
    </w:p>
    <w:p w14:paraId="72A975CB" w14:textId="77777777" w:rsidR="003C73D2" w:rsidRPr="003C73D2" w:rsidRDefault="003C73D2" w:rsidP="003C73D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73D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Limitações relevantes (para posicionar a sua tese)</w:t>
      </w:r>
    </w:p>
    <w:p w14:paraId="6A18D472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boa base conceitual, há limitações claras:</w:t>
      </w:r>
    </w:p>
    <w:p w14:paraId="559B023D" w14:textId="77777777" w:rsidR="003C73D2" w:rsidRPr="003C73D2" w:rsidRDefault="003C73D2" w:rsidP="003C73D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Aplicação restrita a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dispositivos FACTS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(SSSC);</w:t>
      </w:r>
    </w:p>
    <w:p w14:paraId="36B1BC6C" w14:textId="77777777" w:rsidR="003C73D2" w:rsidRPr="003C73D2" w:rsidRDefault="003C73D2" w:rsidP="003C73D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teste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pequeno (IEEE 9-bus)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96420A" w14:textId="77777777" w:rsidR="003C73D2" w:rsidRPr="003C73D2" w:rsidRDefault="003C73D2" w:rsidP="003C73D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explicitamente:</w:t>
      </w:r>
    </w:p>
    <w:p w14:paraId="2E706C6D" w14:textId="77777777" w:rsidR="003C73D2" w:rsidRPr="003C73D2" w:rsidRDefault="003C73D2" w:rsidP="003C73D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extremos;</w:t>
      </w:r>
    </w:p>
    <w:p w14:paraId="29FC4F91" w14:textId="77777777" w:rsidR="003C73D2" w:rsidRPr="003C73D2" w:rsidRDefault="003C73D2" w:rsidP="003C73D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 dependentes do clima;</w:t>
      </w:r>
    </w:p>
    <w:p w14:paraId="4F852978" w14:textId="77777777" w:rsidR="003C73D2" w:rsidRPr="003C73D2" w:rsidRDefault="003C73D2" w:rsidP="003C73D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estocásticos;</w:t>
      </w:r>
    </w:p>
    <w:p w14:paraId="4294B87C" w14:textId="77777777" w:rsidR="003C73D2" w:rsidRPr="003C73D2" w:rsidRDefault="003C73D2" w:rsidP="003C73D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avaliada apenas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</w:t>
      </w:r>
      <w:proofErr w:type="spellEnd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post</w:t>
      </w:r>
      <w:proofErr w:type="spellEnd"/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sem ligação com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frequência de eventos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76495B" w14:textId="77777777" w:rsidR="003C73D2" w:rsidRPr="003C73D2" w:rsidRDefault="003C73D2" w:rsidP="003C73D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um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específico para linhas de transmissão reais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larga escala.</w:t>
      </w:r>
    </w:p>
    <w:p w14:paraId="7AE91FDE" w14:textId="77777777" w:rsidR="003C73D2" w:rsidRPr="003C73D2" w:rsidRDefault="003C73D2" w:rsidP="003C73D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o artigo é </w:t>
      </w:r>
      <w:r w:rsidRPr="003C73D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e demonstrativo</w:t>
      </w:r>
      <w:r w:rsidRPr="003C73D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operacional em sistemas reais de transmissão.</w:t>
      </w:r>
    </w:p>
    <w:p w14:paraId="72F01B05" w14:textId="77777777" w:rsidR="003C73D2" w:rsidRPr="003C73D2" w:rsidRDefault="003C73D2"/>
    <w:sectPr w:rsidR="003C73D2" w:rsidRPr="003C73D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745"/>
    <w:multiLevelType w:val="multilevel"/>
    <w:tmpl w:val="D3C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2EDD"/>
    <w:multiLevelType w:val="multilevel"/>
    <w:tmpl w:val="02B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F50EB"/>
    <w:multiLevelType w:val="multilevel"/>
    <w:tmpl w:val="310E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22620"/>
    <w:multiLevelType w:val="multilevel"/>
    <w:tmpl w:val="B884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07862"/>
    <w:multiLevelType w:val="multilevel"/>
    <w:tmpl w:val="4A8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245138">
    <w:abstractNumId w:val="3"/>
  </w:num>
  <w:num w:numId="2" w16cid:durableId="2015837642">
    <w:abstractNumId w:val="0"/>
  </w:num>
  <w:num w:numId="3" w16cid:durableId="507017327">
    <w:abstractNumId w:val="4"/>
  </w:num>
  <w:num w:numId="4" w16cid:durableId="1117483163">
    <w:abstractNumId w:val="1"/>
  </w:num>
  <w:num w:numId="5" w16cid:durableId="461316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C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C73D2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959C6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52E06"/>
  <w15:chartTrackingRefBased/>
  <w15:docId w15:val="{A1687D67-426D-44EA-9601-821FCAC1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C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C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C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C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C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9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C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959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73D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C73D2"/>
    <w:rPr>
      <w:b/>
      <w:bCs/>
    </w:rPr>
  </w:style>
  <w:style w:type="character" w:styleId="Emphasis">
    <w:name w:val="Emphasis"/>
    <w:basedOn w:val="DefaultParagraphFont"/>
    <w:uiPriority w:val="20"/>
    <w:qFormat/>
    <w:rsid w:val="003C73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2025-12-31T19:19:00Z</dcterms:created>
  <dcterms:modified xsi:type="dcterms:W3CDTF">2025-12-31T19:19:00Z</dcterms:modified>
</cp:coreProperties>
</file>