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B013" w14:textId="192A5A4F" w:rsidR="00F340B1" w:rsidRDefault="00F340B1" w:rsidP="00F340B1">
      <w:proofErr w:type="spellStart"/>
      <w:r>
        <w:t>Artigo</w:t>
      </w:r>
      <w:proofErr w:type="spellEnd"/>
      <w:r>
        <w:t>: The Grid: Stronger, Bigger, Smarter? Presenting a Conceptual Framework of Power System Resilience</w:t>
      </w:r>
    </w:p>
    <w:p w14:paraId="466E2206" w14:textId="77777777" w:rsidR="00F340B1" w:rsidRDefault="00F340B1" w:rsidP="00F340B1"/>
    <w:p w14:paraId="345DCB0E" w14:textId="77777777" w:rsidR="00F340B1" w:rsidRPr="00F340B1" w:rsidRDefault="00F340B1" w:rsidP="00F340B1">
      <w:pPr>
        <w:rPr>
          <w:lang w:val="pt-BR"/>
        </w:rPr>
      </w:pPr>
      <w:r w:rsidRPr="00F340B1">
        <w:rPr>
          <w:lang w:val="pt-BR"/>
        </w:rPr>
        <w:t xml:space="preserve">Autores: </w:t>
      </w:r>
      <w:proofErr w:type="spellStart"/>
      <w:r w:rsidRPr="00F340B1">
        <w:rPr>
          <w:lang w:val="pt-BR"/>
        </w:rPr>
        <w:t>Mathaios</w:t>
      </w:r>
      <w:proofErr w:type="spellEnd"/>
      <w:r w:rsidRPr="00F340B1">
        <w:rPr>
          <w:lang w:val="pt-BR"/>
        </w:rPr>
        <w:t xml:space="preserve"> </w:t>
      </w:r>
      <w:proofErr w:type="spellStart"/>
      <w:r w:rsidRPr="00F340B1">
        <w:rPr>
          <w:lang w:val="pt-BR"/>
        </w:rPr>
        <w:t>Panteli</w:t>
      </w:r>
      <w:proofErr w:type="spellEnd"/>
      <w:r w:rsidRPr="00F340B1">
        <w:rPr>
          <w:lang w:val="pt-BR"/>
        </w:rPr>
        <w:t xml:space="preserve"> e Pierluigi </w:t>
      </w:r>
      <w:proofErr w:type="spellStart"/>
      <w:r w:rsidRPr="00F340B1">
        <w:rPr>
          <w:lang w:val="pt-BR"/>
        </w:rPr>
        <w:t>Mancarella</w:t>
      </w:r>
      <w:proofErr w:type="spellEnd"/>
      <w:r w:rsidRPr="00F340B1">
        <w:rPr>
          <w:lang w:val="pt-BR"/>
        </w:rPr>
        <w:t xml:space="preserve"> (</w:t>
      </w:r>
      <w:proofErr w:type="spellStart"/>
      <w:r w:rsidRPr="00F340B1">
        <w:rPr>
          <w:lang w:val="pt-BR"/>
        </w:rPr>
        <w:t>University</w:t>
      </w:r>
      <w:proofErr w:type="spellEnd"/>
      <w:r w:rsidRPr="00F340B1">
        <w:rPr>
          <w:lang w:val="pt-BR"/>
        </w:rPr>
        <w:t xml:space="preserve"> </w:t>
      </w:r>
      <w:proofErr w:type="spellStart"/>
      <w:r w:rsidRPr="00F340B1">
        <w:rPr>
          <w:lang w:val="pt-BR"/>
        </w:rPr>
        <w:t>of</w:t>
      </w:r>
      <w:proofErr w:type="spellEnd"/>
      <w:r w:rsidRPr="00F340B1">
        <w:rPr>
          <w:lang w:val="pt-BR"/>
        </w:rPr>
        <w:t xml:space="preserve"> Manchester, Reino Unido)</w:t>
      </w:r>
    </w:p>
    <w:p w14:paraId="0D439F32" w14:textId="77777777" w:rsidR="00F340B1" w:rsidRDefault="00F340B1" w:rsidP="00F340B1">
      <w:pPr>
        <w:rPr>
          <w:lang w:val="pt-BR"/>
        </w:rPr>
      </w:pPr>
      <w:r w:rsidRPr="00F340B1">
        <w:rPr>
          <w:lang w:val="pt-BR"/>
        </w:rPr>
        <w:t>Publicado em: IEEE Power &amp; Energy Magazine, maio/junho de 2015. DOI: 10.1109/MPE.2015.2397334</w:t>
      </w:r>
    </w:p>
    <w:p w14:paraId="7566893B" w14:textId="77777777" w:rsidR="00F340B1" w:rsidRPr="00F340B1" w:rsidRDefault="00F340B1" w:rsidP="00F340B1">
      <w:pPr>
        <w:rPr>
          <w:lang w:val="pt-BR"/>
        </w:rPr>
      </w:pPr>
    </w:p>
    <w:p w14:paraId="763F0319" w14:textId="77777777" w:rsidR="00F340B1" w:rsidRPr="00F340B1" w:rsidRDefault="00F340B1" w:rsidP="00F340B1">
      <w:pPr>
        <w:rPr>
          <w:lang w:val="pt-BR"/>
        </w:rPr>
      </w:pPr>
      <w:r w:rsidRPr="00F340B1">
        <w:rPr>
          <w:lang w:val="pt-BR"/>
        </w:rPr>
        <w:t>Resumo do Abstract</w:t>
      </w:r>
    </w:p>
    <w:p w14:paraId="6A66D04A" w14:textId="77777777" w:rsidR="00F340B1" w:rsidRDefault="00F340B1" w:rsidP="00F340B1">
      <w:pPr>
        <w:rPr>
          <w:lang w:val="pt-BR"/>
        </w:rPr>
      </w:pPr>
      <w:r w:rsidRPr="00F340B1">
        <w:rPr>
          <w:lang w:val="pt-BR"/>
        </w:rPr>
        <w:t>Este artigo discute a importância da resiliência em sistemas de energia elétrica diante de eventos climáticos extremos, que estão se tornando mais frequentes e severos devido às mudanças climáticas. A confiabilidade tradicional não é suficiente para proteger os sistemas contra falhas em larga escala. O trabalho propõe um framework conceitual que define e estrutura a resiliência em sistemas de potência com base em características como robustez, redundância, recurso e rapidez, destacando o papel de estratégias híbridas entre reforço estrutural e medidas operacionais inteligentes.</w:t>
      </w:r>
    </w:p>
    <w:p w14:paraId="6BF95158" w14:textId="77777777" w:rsidR="000D5A65" w:rsidRPr="00F340B1" w:rsidRDefault="000D5A65" w:rsidP="00F340B1">
      <w:pPr>
        <w:rPr>
          <w:lang w:val="pt-BR"/>
        </w:rPr>
      </w:pPr>
    </w:p>
    <w:p w14:paraId="05518A9E" w14:textId="77777777" w:rsidR="00F340B1" w:rsidRPr="00F340B1" w:rsidRDefault="00F340B1" w:rsidP="00F340B1">
      <w:pPr>
        <w:rPr>
          <w:lang w:val="pt-BR"/>
        </w:rPr>
      </w:pPr>
      <w:r w:rsidRPr="00F340B1">
        <w:rPr>
          <w:lang w:val="pt-BR"/>
        </w:rPr>
        <w:t>1. Introdução</w:t>
      </w:r>
    </w:p>
    <w:p w14:paraId="243F79CF" w14:textId="77777777" w:rsidR="00F340B1" w:rsidRDefault="00F340B1" w:rsidP="00F340B1">
      <w:pPr>
        <w:rPr>
          <w:lang w:val="pt-BR"/>
        </w:rPr>
      </w:pPr>
      <w:r w:rsidRPr="00F340B1">
        <w:rPr>
          <w:lang w:val="pt-BR"/>
        </w:rPr>
        <w:t>A confiabilidade tradicional baseia-se na capacidade de manter o fornecimento frente a falhas previstas e conhecidas. No entanto, eventos como o furacão Sandy (EUA, 2012), enchentes em Queensland (Austrália, 2010–2011) e a tempestade de gelo na China (2008) mostraram que falhas de grande escala demandam uma abordagem mais robusta e adaptável. O artigo introduz o conceito de resiliência como complemento à confiabilidade, sendo essencial para enfrentar ameaças de baixa probabilidade e alto impacto, cada vez mais comuns devido às mudanças climáticas.</w:t>
      </w:r>
    </w:p>
    <w:p w14:paraId="1C86BB45" w14:textId="77777777" w:rsidR="000D5A65" w:rsidRPr="00F340B1" w:rsidRDefault="000D5A65" w:rsidP="00F340B1">
      <w:pPr>
        <w:rPr>
          <w:lang w:val="pt-BR"/>
        </w:rPr>
      </w:pPr>
    </w:p>
    <w:p w14:paraId="3230CCB2" w14:textId="77777777" w:rsidR="00F340B1" w:rsidRPr="00F340B1" w:rsidRDefault="00F340B1" w:rsidP="00F340B1">
      <w:pPr>
        <w:rPr>
          <w:lang w:val="pt-BR"/>
        </w:rPr>
      </w:pPr>
      <w:r w:rsidRPr="00F340B1">
        <w:rPr>
          <w:lang w:val="pt-BR"/>
        </w:rPr>
        <w:t>2. Metodologia e Fundamentos Teóricos</w:t>
      </w:r>
    </w:p>
    <w:p w14:paraId="1529A1FB" w14:textId="6C386101" w:rsidR="00F340B1" w:rsidRDefault="00F340B1" w:rsidP="00F340B1">
      <w:pPr>
        <w:rPr>
          <w:lang w:val="pt-BR"/>
        </w:rPr>
      </w:pPr>
      <w:r w:rsidRPr="00F340B1">
        <w:rPr>
          <w:lang w:val="pt-BR"/>
        </w:rPr>
        <w:t xml:space="preserve">O estudo adota uma abordagem conceitual exploratória baseada em revisão de literatura técnica e estudos de caso sobre falhas catastróficas no sistema elétrico. A base teórica parte do conceito de resiliência ecológica de </w:t>
      </w:r>
      <w:proofErr w:type="spellStart"/>
      <w:r w:rsidRPr="00F340B1">
        <w:rPr>
          <w:lang w:val="pt-BR"/>
        </w:rPr>
        <w:t>Holling</w:t>
      </w:r>
      <w:proofErr w:type="spellEnd"/>
      <w:r w:rsidRPr="00F340B1">
        <w:rPr>
          <w:lang w:val="pt-BR"/>
        </w:rPr>
        <w:t xml:space="preserve"> (1973), aplicada ao contexto de infraestruturas críticas. A resiliência é estruturada em torno dos 4Rs: robustez, redundância, recurso e rapidez. A robustez refere-se à capacidade de resistir a distúrbios; a redundância, à presença de caminhos ou elementos alternativos; o recurso (</w:t>
      </w:r>
      <w:proofErr w:type="spellStart"/>
      <w:r w:rsidRPr="00F340B1">
        <w:rPr>
          <w:lang w:val="pt-BR"/>
        </w:rPr>
        <w:t>resourcefulness</w:t>
      </w:r>
      <w:proofErr w:type="spellEnd"/>
      <w:r w:rsidRPr="00F340B1">
        <w:rPr>
          <w:lang w:val="pt-BR"/>
        </w:rPr>
        <w:t xml:space="preserve">) está ligado à capacidade de reorganização adaptativa; e a rapidez, à velocidade de recuperação. Esses conceitos são integrados em uma </w:t>
      </w:r>
      <w:r w:rsidRPr="00E1160B">
        <w:rPr>
          <w:u w:val="single"/>
          <w:lang w:val="pt-BR"/>
        </w:rPr>
        <w:t>curva conceitual de resiliência</w:t>
      </w:r>
      <w:r w:rsidRPr="00F340B1">
        <w:rPr>
          <w:lang w:val="pt-BR"/>
        </w:rPr>
        <w:t xml:space="preserve"> (Figura 1), representando o comportamento dinâmico do sistema diante de eventos disruptivos. Além disso, os autores introduzem um </w:t>
      </w:r>
      <w:r w:rsidRPr="00E1160B">
        <w:rPr>
          <w:u w:val="single"/>
          <w:lang w:val="pt-BR"/>
        </w:rPr>
        <w:t>modelo iterativo de melhoria contínua</w:t>
      </w:r>
      <w:r w:rsidRPr="00F340B1">
        <w:rPr>
          <w:lang w:val="pt-BR"/>
        </w:rPr>
        <w:t xml:space="preserve"> (Figura 2), que compreende diagnóstico de vulnerabilidades, planejamento, análise custo-benefício e implementação. A metodologia é qualitativa, mas fornece base sólida para desenvolvimento de métricas quantitativas discutidas na seção de resultados.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0"/>
      </w:tblGrid>
      <w:tr w:rsidR="00265B73" w14:paraId="7C654B45" w14:textId="77777777" w:rsidTr="00E42351">
        <w:trPr>
          <w:trHeight w:val="4649"/>
        </w:trPr>
        <w:tc>
          <w:tcPr>
            <w:tcW w:w="8660" w:type="dxa"/>
            <w:vAlign w:val="center"/>
          </w:tcPr>
          <w:p w14:paraId="35D66173" w14:textId="125DA403" w:rsidR="00265B73" w:rsidRDefault="00265B73" w:rsidP="00265B73">
            <w:pPr>
              <w:spacing w:line="240" w:lineRule="auto"/>
              <w:jc w:val="center"/>
              <w:rPr>
                <w:lang w:val="pt-BR"/>
              </w:rPr>
            </w:pPr>
            <w:r>
              <w:rPr>
                <w:noProof/>
                <w:lang w:val="pt-BR"/>
                <w14:ligatures w14:val="standardContextual"/>
              </w:rPr>
              <w:lastRenderedPageBreak/>
              <w:drawing>
                <wp:inline distT="0" distB="0" distL="0" distR="0" wp14:anchorId="2D69C535" wp14:editId="08531A23">
                  <wp:extent cx="5505450" cy="2875915"/>
                  <wp:effectExtent l="0" t="0" r="0" b="635"/>
                  <wp:docPr id="8989593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959300" name="Imagem 89895930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5B73" w:rsidRPr="00AB4EAA" w14:paraId="524E87A5" w14:textId="77777777" w:rsidTr="00E42351">
        <w:trPr>
          <w:trHeight w:val="340"/>
        </w:trPr>
        <w:tc>
          <w:tcPr>
            <w:tcW w:w="8660" w:type="dxa"/>
            <w:vAlign w:val="center"/>
          </w:tcPr>
          <w:p w14:paraId="550595BE" w14:textId="151990CD" w:rsidR="00265B73" w:rsidRPr="00AB4EAA" w:rsidRDefault="00AB4EAA" w:rsidP="00265B73">
            <w:pPr>
              <w:spacing w:line="240" w:lineRule="auto"/>
              <w:jc w:val="center"/>
            </w:pPr>
            <w:r>
              <w:t>F</w:t>
            </w:r>
            <w:r w:rsidRPr="00AB4EAA">
              <w:t xml:space="preserve">igure 1. A conceptual resilience curve </w:t>
            </w:r>
            <w:proofErr w:type="gramStart"/>
            <w:r w:rsidRPr="00AB4EAA">
              <w:t>associated</w:t>
            </w:r>
            <w:proofErr w:type="gramEnd"/>
            <w:r w:rsidRPr="00AB4EAA">
              <w:t xml:space="preserve"> with an event.</w:t>
            </w:r>
          </w:p>
        </w:tc>
      </w:tr>
    </w:tbl>
    <w:p w14:paraId="274204A3" w14:textId="77777777" w:rsidR="00265B73" w:rsidRDefault="00265B73" w:rsidP="00F340B1"/>
    <w:p w14:paraId="0C472082" w14:textId="1F078AD2" w:rsidR="000C2D52" w:rsidRPr="00AB4EAA" w:rsidRDefault="000C2D52" w:rsidP="00F340B1">
      <w:r>
        <w:t>Table 1. Reliability vs Resilience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30"/>
        <w:gridCol w:w="4330"/>
      </w:tblGrid>
      <w:tr w:rsidR="00AB4EAA" w14:paraId="317F1452" w14:textId="77777777" w:rsidTr="00AB4EAA">
        <w:tc>
          <w:tcPr>
            <w:tcW w:w="4330" w:type="dxa"/>
          </w:tcPr>
          <w:p w14:paraId="7728F77A" w14:textId="6DEA34EB" w:rsidR="00AB4EAA" w:rsidRDefault="00AB4EAA" w:rsidP="001C5AE5">
            <w:pPr>
              <w:spacing w:line="240" w:lineRule="auto"/>
              <w:jc w:val="center"/>
            </w:pPr>
            <w:r>
              <w:t>RELIABILITY</w:t>
            </w:r>
          </w:p>
        </w:tc>
        <w:tc>
          <w:tcPr>
            <w:tcW w:w="4330" w:type="dxa"/>
          </w:tcPr>
          <w:p w14:paraId="79AB08D7" w14:textId="60C37A71" w:rsidR="00AB4EAA" w:rsidRDefault="00AB4EAA" w:rsidP="001C5AE5">
            <w:pPr>
              <w:spacing w:line="240" w:lineRule="auto"/>
              <w:jc w:val="center"/>
            </w:pPr>
            <w:r>
              <w:t>RESILIENCE</w:t>
            </w:r>
          </w:p>
        </w:tc>
      </w:tr>
      <w:tr w:rsidR="00AB4EAA" w14:paraId="5297DEBD" w14:textId="77777777" w:rsidTr="001C5AE5">
        <w:trPr>
          <w:trHeight w:val="340"/>
        </w:trPr>
        <w:tc>
          <w:tcPr>
            <w:tcW w:w="4330" w:type="dxa"/>
            <w:vAlign w:val="center"/>
          </w:tcPr>
          <w:p w14:paraId="733B5D23" w14:textId="0724BD9C" w:rsidR="00AB4EAA" w:rsidRDefault="00AB4EAA" w:rsidP="001C5AE5">
            <w:pPr>
              <w:spacing w:line="240" w:lineRule="auto"/>
            </w:pPr>
            <w:r>
              <w:t>High probability, low impact</w:t>
            </w:r>
          </w:p>
        </w:tc>
        <w:tc>
          <w:tcPr>
            <w:tcW w:w="4330" w:type="dxa"/>
            <w:vAlign w:val="center"/>
          </w:tcPr>
          <w:p w14:paraId="4770EF44" w14:textId="3C71E858" w:rsidR="00AB4EAA" w:rsidRDefault="00AB4EAA" w:rsidP="001C5AE5">
            <w:pPr>
              <w:spacing w:line="240" w:lineRule="auto"/>
            </w:pPr>
            <w:r>
              <w:t>Low probability, high impact</w:t>
            </w:r>
          </w:p>
        </w:tc>
      </w:tr>
      <w:tr w:rsidR="00AB4EAA" w14:paraId="6A8F2A8F" w14:textId="77777777" w:rsidTr="001C5AE5">
        <w:trPr>
          <w:trHeight w:val="340"/>
        </w:trPr>
        <w:tc>
          <w:tcPr>
            <w:tcW w:w="4330" w:type="dxa"/>
            <w:vAlign w:val="center"/>
          </w:tcPr>
          <w:p w14:paraId="2748ED1A" w14:textId="3FC39B64" w:rsidR="00AB4EAA" w:rsidRDefault="00AB4EAA" w:rsidP="001C5AE5">
            <w:pPr>
              <w:spacing w:line="240" w:lineRule="auto"/>
            </w:pPr>
            <w:r>
              <w:t>Static</w:t>
            </w:r>
          </w:p>
        </w:tc>
        <w:tc>
          <w:tcPr>
            <w:tcW w:w="4330" w:type="dxa"/>
            <w:vAlign w:val="center"/>
          </w:tcPr>
          <w:p w14:paraId="33BCBC43" w14:textId="08910C93" w:rsidR="00AB4EAA" w:rsidRDefault="00AB4EAA" w:rsidP="001C5AE5">
            <w:pPr>
              <w:spacing w:line="240" w:lineRule="auto"/>
            </w:pPr>
            <w:r>
              <w:t>Adaptive, ongoing, short and long term</w:t>
            </w:r>
          </w:p>
        </w:tc>
      </w:tr>
      <w:tr w:rsidR="00AB4EAA" w14:paraId="2F2B9D4B" w14:textId="77777777" w:rsidTr="001C5AE5">
        <w:trPr>
          <w:trHeight w:val="624"/>
        </w:trPr>
        <w:tc>
          <w:tcPr>
            <w:tcW w:w="4330" w:type="dxa"/>
            <w:vAlign w:val="center"/>
          </w:tcPr>
          <w:p w14:paraId="11609016" w14:textId="2819B317" w:rsidR="00AB4EAA" w:rsidRDefault="00AB4EAA" w:rsidP="001C5AE5">
            <w:pPr>
              <w:spacing w:line="240" w:lineRule="auto"/>
            </w:pPr>
            <w:r>
              <w:t>Evaluates the power system states</w:t>
            </w:r>
          </w:p>
        </w:tc>
        <w:tc>
          <w:tcPr>
            <w:tcW w:w="4330" w:type="dxa"/>
            <w:vAlign w:val="center"/>
          </w:tcPr>
          <w:p w14:paraId="40845131" w14:textId="4C9A3CDD" w:rsidR="00AB4EAA" w:rsidRDefault="00AB4EAA" w:rsidP="001C5AE5">
            <w:pPr>
              <w:spacing w:line="240" w:lineRule="auto"/>
            </w:pPr>
            <w:r>
              <w:t>Evaluates the power system states</w:t>
            </w:r>
            <w:r w:rsidR="001C5AE5">
              <w:t xml:space="preserve"> and transition times between states</w:t>
            </w:r>
          </w:p>
        </w:tc>
      </w:tr>
      <w:tr w:rsidR="00AB4EAA" w14:paraId="0BC5D128" w14:textId="77777777" w:rsidTr="001C5AE5">
        <w:trPr>
          <w:trHeight w:val="624"/>
        </w:trPr>
        <w:tc>
          <w:tcPr>
            <w:tcW w:w="4330" w:type="dxa"/>
            <w:vAlign w:val="center"/>
          </w:tcPr>
          <w:p w14:paraId="373E0D94" w14:textId="24EA99CF" w:rsidR="00AB4EAA" w:rsidRDefault="001C5AE5" w:rsidP="001C5AE5">
            <w:pPr>
              <w:spacing w:line="240" w:lineRule="auto"/>
            </w:pPr>
            <w:r>
              <w:t>Concerned with customer interruption time</w:t>
            </w:r>
          </w:p>
        </w:tc>
        <w:tc>
          <w:tcPr>
            <w:tcW w:w="4330" w:type="dxa"/>
            <w:vAlign w:val="center"/>
          </w:tcPr>
          <w:p w14:paraId="629BBD9B" w14:textId="2852458B" w:rsidR="00AB4EAA" w:rsidRDefault="001C5AE5" w:rsidP="001C5AE5">
            <w:pPr>
              <w:spacing w:line="240" w:lineRule="auto"/>
            </w:pPr>
            <w:r>
              <w:t>Concerned with customer interruption time and the infrastructure recovery time</w:t>
            </w:r>
          </w:p>
        </w:tc>
      </w:tr>
    </w:tbl>
    <w:p w14:paraId="0843C3EC" w14:textId="77777777" w:rsidR="00265B73" w:rsidRPr="00AB4EAA" w:rsidRDefault="00265B73" w:rsidP="00F340B1"/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3"/>
      </w:tblGrid>
      <w:tr w:rsidR="00BA5EC7" w14:paraId="5B61A16A" w14:textId="77777777" w:rsidTr="00BA5EC7">
        <w:trPr>
          <w:trHeight w:val="4252"/>
          <w:jc w:val="center"/>
        </w:trPr>
        <w:tc>
          <w:tcPr>
            <w:tcW w:w="5953" w:type="dxa"/>
            <w:vAlign w:val="center"/>
          </w:tcPr>
          <w:p w14:paraId="56C8408F" w14:textId="64BE68ED" w:rsidR="006F472B" w:rsidRDefault="00E42351" w:rsidP="00712534">
            <w:pPr>
              <w:spacing w:line="240" w:lineRule="auto"/>
              <w:jc w:val="center"/>
              <w:rPr>
                <w:lang w:val="pt-BR"/>
              </w:rPr>
            </w:pPr>
            <w:r>
              <w:rPr>
                <w:noProof/>
                <w:lang w:val="pt-BR"/>
                <w14:ligatures w14:val="standardContextual"/>
              </w:rPr>
              <w:drawing>
                <wp:inline distT="0" distB="0" distL="0" distR="0" wp14:anchorId="77CC2F26" wp14:editId="531283B2">
                  <wp:extent cx="3600000" cy="2545750"/>
                  <wp:effectExtent l="0" t="0" r="635" b="6985"/>
                  <wp:docPr id="183117164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171640" name="Imagem 183117164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54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EC7" w:rsidRPr="008E3CE9" w14:paraId="2A6FC315" w14:textId="77777777" w:rsidTr="00BA5EC7">
        <w:trPr>
          <w:trHeight w:val="340"/>
          <w:jc w:val="center"/>
        </w:trPr>
        <w:tc>
          <w:tcPr>
            <w:tcW w:w="5953" w:type="dxa"/>
            <w:vAlign w:val="center"/>
          </w:tcPr>
          <w:p w14:paraId="4B7A35D3" w14:textId="602B3740" w:rsidR="006F472B" w:rsidRPr="008E3CE9" w:rsidRDefault="00E42351" w:rsidP="007125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E3CE9">
              <w:rPr>
                <w:sz w:val="20"/>
                <w:szCs w:val="20"/>
              </w:rPr>
              <w:t>Figure 2. A conceptual long-term resilience framework.</w:t>
            </w:r>
          </w:p>
        </w:tc>
      </w:tr>
    </w:tbl>
    <w:p w14:paraId="5BAA16A3" w14:textId="77777777" w:rsidR="00265B73" w:rsidRPr="00AB4EAA" w:rsidRDefault="00265B73" w:rsidP="00F340B1"/>
    <w:p w14:paraId="7937E170" w14:textId="77777777" w:rsidR="00F340B1" w:rsidRPr="00F340B1" w:rsidRDefault="00F340B1" w:rsidP="00F340B1">
      <w:pPr>
        <w:rPr>
          <w:lang w:val="pt-BR"/>
        </w:rPr>
      </w:pPr>
      <w:r w:rsidRPr="00F340B1">
        <w:rPr>
          <w:lang w:val="pt-BR"/>
        </w:rPr>
        <w:t>3. Resultados e Evidências Gráficas</w:t>
      </w:r>
    </w:p>
    <w:p w14:paraId="319384EE" w14:textId="77777777" w:rsidR="00725BE9" w:rsidRDefault="00F340B1" w:rsidP="00F340B1">
      <w:pPr>
        <w:rPr>
          <w:lang w:val="pt-BR"/>
        </w:rPr>
      </w:pPr>
      <w:r w:rsidRPr="00F340B1">
        <w:rPr>
          <w:lang w:val="pt-BR"/>
        </w:rPr>
        <w:t xml:space="preserve">Os principais resultados se organizam em três pilares: representação dinâmica da resiliência, diferenciação operacional vs. estrutural, e critérios para quantificação. A Figura 1 descreve o ciclo </w:t>
      </w:r>
      <w:r w:rsidRPr="00F340B1">
        <w:rPr>
          <w:lang w:val="pt-BR"/>
        </w:rPr>
        <w:lastRenderedPageBreak/>
        <w:t>de vida da resiliência frente a um evento, com degradação (</w:t>
      </w:r>
      <w:proofErr w:type="spellStart"/>
      <w:r w:rsidRPr="00F340B1">
        <w:rPr>
          <w:lang w:val="pt-BR"/>
        </w:rPr>
        <w:t>Rpe</w:t>
      </w:r>
      <w:proofErr w:type="spellEnd"/>
      <w:r w:rsidRPr="00F340B1">
        <w:rPr>
          <w:lang w:val="pt-BR"/>
        </w:rPr>
        <w:t>) e recuperação (</w:t>
      </w:r>
      <w:proofErr w:type="spellStart"/>
      <w:r w:rsidRPr="00F340B1">
        <w:rPr>
          <w:lang w:val="pt-BR"/>
        </w:rPr>
        <w:t>Rpr</w:t>
      </w:r>
      <w:proofErr w:type="spellEnd"/>
      <w:r w:rsidRPr="00F340B1">
        <w:rPr>
          <w:lang w:val="pt-BR"/>
        </w:rPr>
        <w:t>) em relação ao estado inicial (</w:t>
      </w:r>
      <w:proofErr w:type="spellStart"/>
      <w:r w:rsidRPr="00F340B1">
        <w:rPr>
          <w:lang w:val="pt-BR"/>
        </w:rPr>
        <w:t>Ro</w:t>
      </w:r>
      <w:proofErr w:type="spellEnd"/>
      <w:r w:rsidRPr="00F340B1">
        <w:rPr>
          <w:lang w:val="pt-BR"/>
        </w:rPr>
        <w:t xml:space="preserve">). Os tempos entre esses estados (te, </w:t>
      </w:r>
      <w:proofErr w:type="spellStart"/>
      <w:r w:rsidRPr="00F340B1">
        <w:rPr>
          <w:lang w:val="pt-BR"/>
        </w:rPr>
        <w:t>tpe</w:t>
      </w:r>
      <w:proofErr w:type="spellEnd"/>
      <w:r w:rsidRPr="00F340B1">
        <w:rPr>
          <w:lang w:val="pt-BR"/>
        </w:rPr>
        <w:t xml:space="preserve">, </w:t>
      </w:r>
      <w:proofErr w:type="spellStart"/>
      <w:r w:rsidRPr="00F340B1">
        <w:rPr>
          <w:lang w:val="pt-BR"/>
        </w:rPr>
        <w:t>tr</w:t>
      </w:r>
      <w:proofErr w:type="spellEnd"/>
      <w:r w:rsidRPr="00F340B1">
        <w:rPr>
          <w:lang w:val="pt-BR"/>
        </w:rPr>
        <w:t xml:space="preserve">, </w:t>
      </w:r>
      <w:proofErr w:type="spellStart"/>
      <w:r w:rsidRPr="00F340B1">
        <w:rPr>
          <w:lang w:val="pt-BR"/>
        </w:rPr>
        <w:t>tpr</w:t>
      </w:r>
      <w:proofErr w:type="spellEnd"/>
      <w:r w:rsidRPr="00F340B1">
        <w:rPr>
          <w:lang w:val="pt-BR"/>
        </w:rPr>
        <w:t>) tornam-se indicadores críticos para avaliação.</w:t>
      </w:r>
    </w:p>
    <w:p w14:paraId="7D66985F" w14:textId="77777777" w:rsidR="00725BE9" w:rsidRDefault="00725BE9" w:rsidP="00F340B1">
      <w:pPr>
        <w:rPr>
          <w:lang w:val="pt-BR"/>
        </w:rPr>
      </w:pPr>
    </w:p>
    <w:p w14:paraId="586073A3" w14:textId="77777777" w:rsidR="00725BE9" w:rsidRDefault="00F340B1" w:rsidP="00F340B1">
      <w:pPr>
        <w:rPr>
          <w:lang w:val="pt-BR"/>
        </w:rPr>
      </w:pPr>
      <w:r w:rsidRPr="00F340B1">
        <w:rPr>
          <w:lang w:val="pt-BR"/>
        </w:rPr>
        <w:t>A Figura 3 apresenta métricas que separam resiliência de curto e longo prazo.</w:t>
      </w:r>
    </w:p>
    <w:p w14:paraId="662C7C1A" w14:textId="77777777" w:rsidR="00725BE9" w:rsidRDefault="00725BE9" w:rsidP="00F340B1">
      <w:pPr>
        <w:rPr>
          <w:lang w:val="pt-BR"/>
        </w:rPr>
      </w:pPr>
    </w:p>
    <w:p w14:paraId="4076B369" w14:textId="77777777" w:rsidR="00725BE9" w:rsidRDefault="00F340B1" w:rsidP="00F340B1">
      <w:pPr>
        <w:rPr>
          <w:lang w:val="pt-BR"/>
        </w:rPr>
      </w:pPr>
      <w:r w:rsidRPr="00F340B1">
        <w:rPr>
          <w:lang w:val="pt-BR"/>
        </w:rPr>
        <w:t>Já a Figura 4 traz curvas de fragilidade que relacionam a probabilidade de falha de componentes com a intensidade de variáveis climáticas (vento, chuva etc.), servindo como base para avaliações probabilísticas da vulnerabilidade dos sistemas elétricos.</w:t>
      </w:r>
    </w:p>
    <w:p w14:paraId="00C9E42E" w14:textId="77777777" w:rsidR="00725BE9" w:rsidRDefault="00725BE9" w:rsidP="00F340B1">
      <w:pPr>
        <w:rPr>
          <w:lang w:val="pt-BR"/>
        </w:rPr>
      </w:pPr>
    </w:p>
    <w:p w14:paraId="63B9C5A6" w14:textId="367219AA" w:rsidR="00AC0148" w:rsidRDefault="00C81D3D" w:rsidP="00AC0148">
      <w:pPr>
        <w:rPr>
          <w:lang w:val="pt-BR"/>
        </w:rPr>
      </w:pPr>
      <w:r>
        <w:rPr>
          <w:lang w:val="pt-BR"/>
        </w:rPr>
        <w:t>"</w:t>
      </w:r>
      <w:r w:rsidR="00AC0148">
        <w:rPr>
          <w:lang w:val="pt-BR"/>
        </w:rPr>
        <w:t xml:space="preserve">A </w:t>
      </w:r>
      <w:r w:rsidR="00AC0148" w:rsidRPr="00AC0148">
        <w:rPr>
          <w:lang w:val="pt-BR"/>
        </w:rPr>
        <w:t xml:space="preserve">resiliência é frequentemente quantificada </w:t>
      </w:r>
      <w:r w:rsidR="00AC0148" w:rsidRPr="00AC0148">
        <w:rPr>
          <w:u w:val="single"/>
          <w:lang w:val="pt-BR"/>
        </w:rPr>
        <w:t>com base no grau de robustez ao choque inicial</w:t>
      </w:r>
      <w:r w:rsidR="00AC0148" w:rsidRPr="00AC0148">
        <w:rPr>
          <w:lang w:val="pt-BR"/>
        </w:rPr>
        <w:t xml:space="preserve">, </w:t>
      </w:r>
      <w:r w:rsidR="00AC0148" w:rsidRPr="00AC0148">
        <w:rPr>
          <w:u w:val="single"/>
          <w:lang w:val="pt-BR"/>
        </w:rPr>
        <w:t>na</w:t>
      </w:r>
      <w:r w:rsidR="00AC0148" w:rsidRPr="00AC0148">
        <w:rPr>
          <w:u w:val="single"/>
          <w:lang w:val="pt-BR"/>
        </w:rPr>
        <w:t xml:space="preserve"> </w:t>
      </w:r>
      <w:r w:rsidR="00AC0148" w:rsidRPr="00AC0148">
        <w:rPr>
          <w:u w:val="single"/>
          <w:lang w:val="pt-BR"/>
        </w:rPr>
        <w:t>funcionalidade alcançada durante o evento</w:t>
      </w:r>
      <w:r w:rsidR="00AC0148" w:rsidRPr="00AC0148">
        <w:rPr>
          <w:lang w:val="pt-BR"/>
        </w:rPr>
        <w:t xml:space="preserve">, ou </w:t>
      </w:r>
      <w:r w:rsidR="00AC0148" w:rsidRPr="00AC0148">
        <w:rPr>
          <w:u w:val="single"/>
          <w:lang w:val="pt-BR"/>
        </w:rPr>
        <w:t>na duração da recuperação pós-evento</w:t>
      </w:r>
      <w:r w:rsidR="00AC0148" w:rsidRPr="00AC0148">
        <w:rPr>
          <w:lang w:val="pt-BR"/>
        </w:rPr>
        <w:t>.</w:t>
      </w:r>
    </w:p>
    <w:p w14:paraId="4005A499" w14:textId="7CCBF822" w:rsidR="00C81D3D" w:rsidRPr="00C81D3D" w:rsidRDefault="00C81D3D" w:rsidP="00C81D3D">
      <w:pPr>
        <w:rPr>
          <w:lang w:val="pt-BR"/>
        </w:rPr>
      </w:pPr>
      <w:r w:rsidRPr="00C81D3D">
        <w:rPr>
          <w:lang w:val="pt-BR"/>
        </w:rPr>
        <w:t>Os métodos de avaliação da resiliência devem ser capazes de</w:t>
      </w:r>
      <w:r>
        <w:rPr>
          <w:lang w:val="pt-BR"/>
        </w:rPr>
        <w:t xml:space="preserve"> </w:t>
      </w:r>
      <w:r w:rsidRPr="00C81D3D">
        <w:rPr>
          <w:lang w:val="pt-BR"/>
        </w:rPr>
        <w:t>quantificar a frequência e a duração dos problemas dos clientes</w:t>
      </w:r>
      <w:r>
        <w:rPr>
          <w:lang w:val="pt-BR"/>
        </w:rPr>
        <w:t xml:space="preserve"> </w:t>
      </w:r>
      <w:r w:rsidRPr="00C81D3D">
        <w:rPr>
          <w:lang w:val="pt-BR"/>
        </w:rPr>
        <w:t xml:space="preserve">desconexões de clientes devido a desastres graves </w:t>
      </w:r>
      <w:proofErr w:type="gramStart"/>
      <w:r w:rsidRPr="00C81D3D">
        <w:rPr>
          <w:lang w:val="pt-BR"/>
        </w:rPr>
        <w:t>e também</w:t>
      </w:r>
      <w:proofErr w:type="gramEnd"/>
      <w:r w:rsidRPr="00C81D3D">
        <w:rPr>
          <w:lang w:val="pt-BR"/>
        </w:rPr>
        <w:t xml:space="preserve"> o número de clientes desconectados</w:t>
      </w:r>
      <w:r>
        <w:rPr>
          <w:lang w:val="pt-BR"/>
        </w:rPr>
        <w:t xml:space="preserve">. </w:t>
      </w:r>
      <w:r w:rsidRPr="00C81D3D">
        <w:rPr>
          <w:lang w:val="pt-BR"/>
        </w:rPr>
        <w:t>Eles também devem fornecer</w:t>
      </w:r>
      <w:r>
        <w:rPr>
          <w:lang w:val="pt-BR"/>
        </w:rPr>
        <w:t xml:space="preserve"> </w:t>
      </w:r>
      <w:r w:rsidRPr="00C81D3D">
        <w:rPr>
          <w:lang w:val="pt-BR"/>
        </w:rPr>
        <w:t>índices de resiliência global de toda a infraestrutura de energia, bem como índices de resiliência específicos de áreas e componentes</w:t>
      </w:r>
    </w:p>
    <w:p w14:paraId="338856C7" w14:textId="77777777" w:rsidR="00C81D3D" w:rsidRPr="00C81D3D" w:rsidRDefault="00C81D3D" w:rsidP="00C81D3D">
      <w:pPr>
        <w:rPr>
          <w:lang w:val="pt-BR"/>
        </w:rPr>
      </w:pPr>
      <w:r w:rsidRPr="00C81D3D">
        <w:rPr>
          <w:lang w:val="pt-BR"/>
        </w:rPr>
        <w:t>específicos por área e componente, o que ajudaria a direcionar o aprimoramento da resiliência</w:t>
      </w:r>
    </w:p>
    <w:p w14:paraId="2C1EBB0F" w14:textId="524F6513" w:rsidR="00C81D3D" w:rsidRDefault="00C81D3D" w:rsidP="00C81D3D">
      <w:pPr>
        <w:rPr>
          <w:lang w:val="pt-BR"/>
        </w:rPr>
      </w:pPr>
      <w:r w:rsidRPr="00C81D3D">
        <w:rPr>
          <w:lang w:val="pt-BR"/>
        </w:rPr>
        <w:t>medidas.</w:t>
      </w:r>
      <w:r>
        <w:rPr>
          <w:lang w:val="pt-BR"/>
        </w:rPr>
        <w:t xml:space="preserve"> </w:t>
      </w:r>
      <w:r w:rsidRPr="00C81D3D">
        <w:rPr>
          <w:lang w:val="pt-BR"/>
        </w:rPr>
        <w:t>Essas metodologias de avaliação da resiliência precisam</w:t>
      </w:r>
      <w:r>
        <w:rPr>
          <w:lang w:val="pt-BR"/>
        </w:rPr>
        <w:t xml:space="preserve"> </w:t>
      </w:r>
      <w:r w:rsidRPr="00C81D3D">
        <w:rPr>
          <w:lang w:val="pt-BR"/>
        </w:rPr>
        <w:t>refletir da forma mais realista possível o efeito de um desastre de alto impacto e baixa probabilidade. Por fim, a dimensão</w:t>
      </w:r>
      <w:r>
        <w:rPr>
          <w:lang w:val="pt-BR"/>
        </w:rPr>
        <w:t xml:space="preserve"> </w:t>
      </w:r>
      <w:r w:rsidRPr="00C81D3D">
        <w:rPr>
          <w:lang w:val="pt-BR"/>
        </w:rPr>
        <w:t>temporal</w:t>
      </w:r>
      <w:r>
        <w:rPr>
          <w:lang w:val="pt-BR"/>
        </w:rPr>
        <w:t xml:space="preserve"> </w:t>
      </w:r>
      <w:r w:rsidRPr="00C81D3D">
        <w:rPr>
          <w:lang w:val="pt-BR"/>
        </w:rPr>
        <w:t>precisa ser incorporada explicitamente na avaliação para capturar a capacidade do</w:t>
      </w:r>
      <w:r>
        <w:rPr>
          <w:lang w:val="pt-BR"/>
        </w:rPr>
        <w:t xml:space="preserve"> </w:t>
      </w:r>
      <w:r w:rsidRPr="00C81D3D">
        <w:rPr>
          <w:lang w:val="pt-BR"/>
        </w:rPr>
        <w:t>sistema de se degradar lentamente</w:t>
      </w:r>
      <w:r>
        <w:rPr>
          <w:lang w:val="pt-BR"/>
        </w:rPr>
        <w:t xml:space="preserve"> </w:t>
      </w:r>
      <w:r w:rsidRPr="00C81D3D">
        <w:rPr>
          <w:lang w:val="pt-BR"/>
        </w:rPr>
        <w:t>e se recuperar rapidamente do estado original anterior ao evento. Para isso, a influência espaço-temporal do</w:t>
      </w:r>
      <w:r>
        <w:rPr>
          <w:lang w:val="pt-BR"/>
        </w:rPr>
        <w:t xml:space="preserve"> </w:t>
      </w:r>
      <w:r w:rsidRPr="00C81D3D">
        <w:rPr>
          <w:lang w:val="pt-BR"/>
        </w:rPr>
        <w:t>evento sobre a resiliência da infraestrutura de energia precisa ser modelada adequadamente.</w:t>
      </w:r>
      <w:r>
        <w:rPr>
          <w:lang w:val="pt-BR"/>
        </w:rPr>
        <w:t>"</w:t>
      </w:r>
    </w:p>
    <w:p w14:paraId="0504FEB0" w14:textId="77777777" w:rsidR="00AC0148" w:rsidRDefault="00AC0148" w:rsidP="00F340B1">
      <w:pPr>
        <w:rPr>
          <w:lang w:val="pt-BR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3"/>
      </w:tblGrid>
      <w:tr w:rsidR="008E3CE9" w14:paraId="4FCCF2A8" w14:textId="77777777" w:rsidTr="00AE23DE">
        <w:trPr>
          <w:trHeight w:val="4252"/>
          <w:jc w:val="center"/>
        </w:trPr>
        <w:tc>
          <w:tcPr>
            <w:tcW w:w="5953" w:type="dxa"/>
            <w:vAlign w:val="center"/>
          </w:tcPr>
          <w:p w14:paraId="7056DF99" w14:textId="590D8604" w:rsidR="008E3CE9" w:rsidRDefault="008E3CE9" w:rsidP="00A9249C">
            <w:pPr>
              <w:spacing w:line="240" w:lineRule="auto"/>
              <w:jc w:val="center"/>
              <w:rPr>
                <w:lang w:val="pt-BR"/>
              </w:rPr>
            </w:pPr>
            <w:r>
              <w:rPr>
                <w:noProof/>
                <w:lang w:val="pt-BR"/>
                <w14:ligatures w14:val="standardContextual"/>
              </w:rPr>
              <w:drawing>
                <wp:inline distT="0" distB="0" distL="0" distR="0" wp14:anchorId="76DB1A52" wp14:editId="6E197C88">
                  <wp:extent cx="3600000" cy="3156137"/>
                  <wp:effectExtent l="0" t="0" r="635" b="6350"/>
                  <wp:docPr id="1539807351" name="Imagem 1" descr="Interface gráfica do usuário, Diagra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807351" name="Imagem 1" descr="Interface gráfica do usuário, Diagrama&#10;&#10;O conteúdo gerado por IA pode estar incorreto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156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CE9" w:rsidRPr="00AE23DE" w14:paraId="235956F5" w14:textId="77777777" w:rsidTr="00AE23DE">
        <w:trPr>
          <w:trHeight w:val="340"/>
          <w:jc w:val="center"/>
        </w:trPr>
        <w:tc>
          <w:tcPr>
            <w:tcW w:w="5953" w:type="dxa"/>
            <w:vAlign w:val="center"/>
          </w:tcPr>
          <w:p w14:paraId="0485FD76" w14:textId="6CBEC218" w:rsidR="008E3CE9" w:rsidRPr="00AE23DE" w:rsidRDefault="008E3CE9" w:rsidP="008E3CE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AE23DE">
              <w:rPr>
                <w:sz w:val="20"/>
                <w:szCs w:val="20"/>
              </w:rPr>
              <w:t>F</w:t>
            </w:r>
            <w:r w:rsidRPr="00AE23DE">
              <w:rPr>
                <w:sz w:val="20"/>
                <w:szCs w:val="20"/>
              </w:rPr>
              <w:t xml:space="preserve">igure 4. Evaluating and enhancing resilience to weather events using </w:t>
            </w:r>
          </w:p>
        </w:tc>
      </w:tr>
      <w:tr w:rsidR="00AE23DE" w:rsidRPr="00AE23DE" w14:paraId="01498B3E" w14:textId="77777777" w:rsidTr="00AE23DE">
        <w:trPr>
          <w:trHeight w:val="170"/>
          <w:jc w:val="center"/>
        </w:trPr>
        <w:tc>
          <w:tcPr>
            <w:tcW w:w="5953" w:type="dxa"/>
            <w:vAlign w:val="center"/>
          </w:tcPr>
          <w:p w14:paraId="43BB3E15" w14:textId="0B250566" w:rsidR="00AE23DE" w:rsidRPr="00AE23DE" w:rsidRDefault="00AE23DE" w:rsidP="00AE23DE">
            <w:pPr>
              <w:spacing w:line="240" w:lineRule="auto"/>
              <w:ind w:firstLine="851"/>
              <w:rPr>
                <w:sz w:val="20"/>
                <w:szCs w:val="20"/>
              </w:rPr>
            </w:pPr>
            <w:r w:rsidRPr="00AE23DE">
              <w:rPr>
                <w:sz w:val="20"/>
                <w:szCs w:val="20"/>
              </w:rPr>
              <w:t>fragility curves.</w:t>
            </w:r>
          </w:p>
        </w:tc>
      </w:tr>
    </w:tbl>
    <w:p w14:paraId="7A14D6D1" w14:textId="77777777" w:rsidR="00AC0148" w:rsidRPr="008E3CE9" w:rsidRDefault="00AC0148" w:rsidP="00F340B1"/>
    <w:p w14:paraId="711C9CEA" w14:textId="77777777" w:rsidR="00AC0148" w:rsidRPr="008E3CE9" w:rsidRDefault="00AC0148" w:rsidP="00F340B1"/>
    <w:p w14:paraId="6C6C63B6" w14:textId="77777777" w:rsidR="00AC0148" w:rsidRPr="008E3CE9" w:rsidRDefault="00AC0148" w:rsidP="00F340B1"/>
    <w:p w14:paraId="722D7420" w14:textId="77777777" w:rsidR="00AC0148" w:rsidRPr="008E3CE9" w:rsidRDefault="00AC0148" w:rsidP="00F340B1"/>
    <w:p w14:paraId="53619DA0" w14:textId="77777777" w:rsidR="00AC0148" w:rsidRPr="008E3CE9" w:rsidRDefault="00AC0148" w:rsidP="00F340B1"/>
    <w:p w14:paraId="19386F80" w14:textId="77777777" w:rsidR="00AC0148" w:rsidRPr="008E3CE9" w:rsidRDefault="00AC0148" w:rsidP="00F340B1"/>
    <w:p w14:paraId="6FD07BEC" w14:textId="68CBEF4B" w:rsidR="00F340B1" w:rsidRDefault="00F340B1" w:rsidP="00F340B1">
      <w:pPr>
        <w:rPr>
          <w:lang w:val="pt-BR"/>
        </w:rPr>
      </w:pPr>
      <w:r w:rsidRPr="00F340B1">
        <w:rPr>
          <w:lang w:val="pt-BR"/>
        </w:rPr>
        <w:t>As tabelas e gráficos permitem estabelecer índices específicos por região, componente ou sistema, apoiando decisões baseadas em risco.</w:t>
      </w:r>
    </w:p>
    <w:p w14:paraId="313BE39A" w14:textId="77777777" w:rsidR="00725BE9" w:rsidRDefault="00725BE9" w:rsidP="00F340B1">
      <w:pPr>
        <w:rPr>
          <w:lang w:val="pt-BR"/>
        </w:rPr>
      </w:pPr>
    </w:p>
    <w:p w14:paraId="062AD9E8" w14:textId="77777777" w:rsidR="00725BE9" w:rsidRPr="00F340B1" w:rsidRDefault="00725BE9" w:rsidP="00F340B1">
      <w:pPr>
        <w:rPr>
          <w:lang w:val="pt-BR"/>
        </w:rPr>
      </w:pPr>
    </w:p>
    <w:p w14:paraId="2C2EFEDA" w14:textId="77777777" w:rsidR="00F340B1" w:rsidRPr="00F340B1" w:rsidRDefault="00F340B1" w:rsidP="00F340B1">
      <w:pPr>
        <w:rPr>
          <w:lang w:val="pt-BR"/>
        </w:rPr>
      </w:pPr>
      <w:r w:rsidRPr="00F340B1">
        <w:rPr>
          <w:lang w:val="pt-BR"/>
        </w:rPr>
        <w:t>4. Discussão e Aplicações Estratégicas</w:t>
      </w:r>
    </w:p>
    <w:p w14:paraId="4D107D48" w14:textId="77777777" w:rsidR="00725BE9" w:rsidRDefault="00F340B1" w:rsidP="00F340B1">
      <w:pPr>
        <w:rPr>
          <w:lang w:val="pt-BR"/>
        </w:rPr>
      </w:pPr>
      <w:r w:rsidRPr="00F340B1">
        <w:rPr>
          <w:lang w:val="pt-BR"/>
        </w:rPr>
        <w:t>Os autores propõem uma abordagem híbrida entre medidas de reforço físico (</w:t>
      </w:r>
      <w:proofErr w:type="spellStart"/>
      <w:r w:rsidRPr="00F340B1">
        <w:rPr>
          <w:lang w:val="pt-BR"/>
        </w:rPr>
        <w:t>hardening</w:t>
      </w:r>
      <w:proofErr w:type="spellEnd"/>
      <w:r w:rsidRPr="00F340B1">
        <w:rPr>
          <w:lang w:val="pt-BR"/>
        </w:rPr>
        <w:t>) e soluções operacionais inteligentes (</w:t>
      </w:r>
      <w:proofErr w:type="spellStart"/>
      <w:r w:rsidRPr="00F340B1">
        <w:rPr>
          <w:lang w:val="pt-BR"/>
        </w:rPr>
        <w:t>smart</w:t>
      </w:r>
      <w:proofErr w:type="spellEnd"/>
      <w:r w:rsidRPr="00F340B1">
        <w:rPr>
          <w:lang w:val="pt-BR"/>
        </w:rPr>
        <w:t>).</w:t>
      </w:r>
    </w:p>
    <w:p w14:paraId="64C9DA34" w14:textId="77777777" w:rsidR="004F0556" w:rsidRDefault="00F340B1" w:rsidP="00F340B1">
      <w:pPr>
        <w:rPr>
          <w:lang w:val="pt-BR"/>
        </w:rPr>
      </w:pPr>
      <w:r w:rsidRPr="00F340B1">
        <w:rPr>
          <w:lang w:val="pt-BR"/>
        </w:rPr>
        <w:t>A Tabela 2 ilustra ações estruturais como enterramento de linhas, reforço de postes e torres, elevação de subestações e rotas alternativas.</w:t>
      </w:r>
    </w:p>
    <w:p w14:paraId="51406C2A" w14:textId="77777777" w:rsidR="004F0556" w:rsidRDefault="004F0556" w:rsidP="00F340B1">
      <w:pPr>
        <w:rPr>
          <w:lang w:val="pt-BR"/>
        </w:rPr>
      </w:pPr>
    </w:p>
    <w:p w14:paraId="3CDF3FFC" w14:textId="5BA67D8A" w:rsidR="004F0556" w:rsidRDefault="00F340B1" w:rsidP="00F340B1">
      <w:pPr>
        <w:rPr>
          <w:lang w:val="pt-BR"/>
        </w:rPr>
      </w:pPr>
      <w:r w:rsidRPr="00F340B1">
        <w:rPr>
          <w:lang w:val="pt-BR"/>
        </w:rPr>
        <w:t xml:space="preserve">A Figura 6 compara custo e efetividade de cada abordagem, sugerindo que a combinação entre ambas é mais viável economicamente. A discussão aborda ainda o papel das </w:t>
      </w:r>
      <w:proofErr w:type="spellStart"/>
      <w:r w:rsidRPr="00F340B1">
        <w:rPr>
          <w:lang w:val="pt-BR"/>
        </w:rPr>
        <w:t>microgrids</w:t>
      </w:r>
      <w:proofErr w:type="spellEnd"/>
      <w:r w:rsidRPr="00F340B1">
        <w:rPr>
          <w:lang w:val="pt-BR"/>
        </w:rPr>
        <w:t xml:space="preserve"> como unidades autônomas de resiliência, com capacidade de operar em modo ilhado durante crises.</w:t>
      </w:r>
    </w:p>
    <w:p w14:paraId="12C1B9C3" w14:textId="77777777" w:rsidR="004F0556" w:rsidRDefault="004F0556" w:rsidP="00F340B1">
      <w:pPr>
        <w:rPr>
          <w:lang w:val="pt-BR"/>
        </w:rPr>
      </w:pPr>
    </w:p>
    <w:p w14:paraId="23E59637" w14:textId="77777777" w:rsidR="004F0556" w:rsidRDefault="00F340B1" w:rsidP="00F340B1">
      <w:pPr>
        <w:rPr>
          <w:lang w:val="pt-BR"/>
        </w:rPr>
      </w:pPr>
      <w:r w:rsidRPr="00F340B1">
        <w:rPr>
          <w:lang w:val="pt-BR"/>
        </w:rPr>
        <w:t>Soluções como proteção adaptativa e sistemas de visualização situacional são destacadas como tecnologias emergentes.</w:t>
      </w:r>
    </w:p>
    <w:p w14:paraId="28639773" w14:textId="77777777" w:rsidR="004F0556" w:rsidRDefault="004F0556" w:rsidP="00F340B1">
      <w:pPr>
        <w:rPr>
          <w:lang w:val="pt-BR"/>
        </w:rPr>
      </w:pPr>
    </w:p>
    <w:p w14:paraId="05BF630C" w14:textId="77777777" w:rsidR="004F0556" w:rsidRDefault="00F340B1" w:rsidP="00F340B1">
      <w:pPr>
        <w:rPr>
          <w:lang w:val="pt-BR"/>
        </w:rPr>
      </w:pPr>
      <w:r w:rsidRPr="00F340B1">
        <w:rPr>
          <w:lang w:val="pt-BR"/>
        </w:rPr>
        <w:t>A Figura 5 posiciona a engenharia da resiliência como ação preventiva, em contraste com a simples resposta a desastres.</w:t>
      </w:r>
    </w:p>
    <w:p w14:paraId="408779DB" w14:textId="77777777" w:rsidR="004F0556" w:rsidRDefault="004F0556" w:rsidP="00F340B1">
      <w:pPr>
        <w:rPr>
          <w:lang w:val="pt-BR"/>
        </w:rPr>
      </w:pPr>
    </w:p>
    <w:p w14:paraId="21F3BD40" w14:textId="1A4768AD" w:rsidR="00F340B1" w:rsidRPr="00F340B1" w:rsidRDefault="00F340B1" w:rsidP="00F340B1">
      <w:pPr>
        <w:rPr>
          <w:lang w:val="pt-BR"/>
        </w:rPr>
      </w:pPr>
      <w:r w:rsidRPr="00F340B1">
        <w:rPr>
          <w:lang w:val="pt-BR"/>
        </w:rPr>
        <w:t>O artigo enfatiza a importância do aprendizado contínuo e da gestão adaptativa, especialmente em contextos de incerteza, como os induzidos pelas mudanças climáticas.</w:t>
      </w:r>
    </w:p>
    <w:p w14:paraId="39748775" w14:textId="77777777" w:rsidR="004F0556" w:rsidRDefault="004F0556" w:rsidP="00F340B1">
      <w:pPr>
        <w:rPr>
          <w:lang w:val="pt-BR"/>
        </w:rPr>
      </w:pPr>
    </w:p>
    <w:p w14:paraId="1EB001BD" w14:textId="285AAB90" w:rsidR="00F340B1" w:rsidRPr="00F340B1" w:rsidRDefault="00F340B1" w:rsidP="00F340B1">
      <w:pPr>
        <w:rPr>
          <w:lang w:val="pt-BR"/>
        </w:rPr>
      </w:pPr>
      <w:r w:rsidRPr="00F340B1">
        <w:rPr>
          <w:lang w:val="pt-BR"/>
        </w:rPr>
        <w:t>5. Conclusão</w:t>
      </w:r>
    </w:p>
    <w:p w14:paraId="613F800E" w14:textId="5E3BE554" w:rsidR="00F340B1" w:rsidRDefault="00F340B1" w:rsidP="00F340B1">
      <w:pPr>
        <w:rPr>
          <w:lang w:val="pt-BR"/>
        </w:rPr>
      </w:pPr>
      <w:r w:rsidRPr="00F340B1">
        <w:rPr>
          <w:lang w:val="pt-BR"/>
        </w:rPr>
        <w:t>O artigo conclui que o paradigma de confiabilidade precisa ser complementado por uma abordagem resiliente e adaptativa. A construção de redes híbridas</w:t>
      </w:r>
      <w:r w:rsidR="004F0556">
        <w:rPr>
          <w:lang w:val="pt-BR"/>
        </w:rPr>
        <w:t xml:space="preserve"> – </w:t>
      </w:r>
      <w:r w:rsidRPr="00F340B1">
        <w:rPr>
          <w:lang w:val="pt-BR"/>
        </w:rPr>
        <w:t>mais robustas, mais inteligentes e com capacidade de resposta localizada</w:t>
      </w:r>
      <w:r w:rsidR="004F0556">
        <w:rPr>
          <w:lang w:val="pt-BR"/>
        </w:rPr>
        <w:t xml:space="preserve"> –</w:t>
      </w:r>
      <w:r w:rsidRPr="00F340B1">
        <w:rPr>
          <w:lang w:val="pt-BR"/>
        </w:rPr>
        <w:t xml:space="preserve"> é essencial para enfrentar eventos extremos. Além disso, os autores destacam a importância de métodos de avaliação multidimensionais e de análises custo-benefício para guiar investimentos em resiliência.</w:t>
      </w:r>
    </w:p>
    <w:p w14:paraId="4BCD7DAF" w14:textId="77777777" w:rsidR="004F0556" w:rsidRPr="00F340B1" w:rsidRDefault="004F0556" w:rsidP="00F340B1">
      <w:pPr>
        <w:rPr>
          <w:lang w:val="pt-BR"/>
        </w:rPr>
      </w:pPr>
    </w:p>
    <w:sectPr w:rsidR="004F0556" w:rsidRPr="00F340B1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B1"/>
    <w:rsid w:val="000131F2"/>
    <w:rsid w:val="00040993"/>
    <w:rsid w:val="0007293B"/>
    <w:rsid w:val="0008424C"/>
    <w:rsid w:val="00096FFB"/>
    <w:rsid w:val="000C2D52"/>
    <w:rsid w:val="000C625D"/>
    <w:rsid w:val="000D45BD"/>
    <w:rsid w:val="000D5A65"/>
    <w:rsid w:val="00172112"/>
    <w:rsid w:val="00196796"/>
    <w:rsid w:val="001C5AE5"/>
    <w:rsid w:val="0024739D"/>
    <w:rsid w:val="00265B73"/>
    <w:rsid w:val="00347332"/>
    <w:rsid w:val="0039444F"/>
    <w:rsid w:val="003F704C"/>
    <w:rsid w:val="004234AF"/>
    <w:rsid w:val="00423B9B"/>
    <w:rsid w:val="00435A17"/>
    <w:rsid w:val="004B5BB7"/>
    <w:rsid w:val="004F0556"/>
    <w:rsid w:val="00502614"/>
    <w:rsid w:val="005272F0"/>
    <w:rsid w:val="00595B01"/>
    <w:rsid w:val="0061413D"/>
    <w:rsid w:val="006F472B"/>
    <w:rsid w:val="00725BE9"/>
    <w:rsid w:val="008226B2"/>
    <w:rsid w:val="008C0D5E"/>
    <w:rsid w:val="008E3CE9"/>
    <w:rsid w:val="00A04542"/>
    <w:rsid w:val="00A74270"/>
    <w:rsid w:val="00AA4524"/>
    <w:rsid w:val="00AB4EAA"/>
    <w:rsid w:val="00AC0148"/>
    <w:rsid w:val="00AC5231"/>
    <w:rsid w:val="00AE23DE"/>
    <w:rsid w:val="00B7708D"/>
    <w:rsid w:val="00B811CD"/>
    <w:rsid w:val="00BA5EC7"/>
    <w:rsid w:val="00BF51C6"/>
    <w:rsid w:val="00C03A12"/>
    <w:rsid w:val="00C81D3D"/>
    <w:rsid w:val="00CE4C5C"/>
    <w:rsid w:val="00D25A09"/>
    <w:rsid w:val="00D63D8E"/>
    <w:rsid w:val="00E1160B"/>
    <w:rsid w:val="00E42351"/>
    <w:rsid w:val="00F340B1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E4684"/>
  <w15:chartTrackingRefBased/>
  <w15:docId w15:val="{0BA2A562-0FBC-47E6-98B4-1045C388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CE9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4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40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40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40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40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40B1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40B1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40B1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40B1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40B1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F340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40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4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40B1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F340B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65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4</Pages>
  <Words>1056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8</cp:revision>
  <dcterms:created xsi:type="dcterms:W3CDTF">2025-05-04T00:42:00Z</dcterms:created>
  <dcterms:modified xsi:type="dcterms:W3CDTF">2025-05-05T07:24:00Z</dcterms:modified>
</cp:coreProperties>
</file>