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9309" w14:textId="7D8D5575" w:rsidR="00AC5231" w:rsidRPr="0081388A" w:rsidRDefault="00FA0A7E" w:rsidP="0081388A">
      <w:pPr>
        <w:spacing w:after="120" w:line="336" w:lineRule="auto"/>
        <w:rPr>
          <w:rFonts w:cs="Times New Roman"/>
          <w:lang w:val="en-US"/>
        </w:rPr>
      </w:pPr>
      <w:r w:rsidRPr="0081388A">
        <w:rPr>
          <w:rFonts w:cs="Times New Roman"/>
          <w:lang w:val="en-US"/>
        </w:rPr>
        <w:t xml:space="preserve">Comparative analysis of evaluation approaches for the climatic factors </w:t>
      </w:r>
      <w:proofErr w:type="gramStart"/>
      <w:r w:rsidRPr="0081388A">
        <w:rPr>
          <w:rFonts w:cs="Times New Roman"/>
          <w:lang w:val="en-US"/>
        </w:rPr>
        <w:t>influence</w:t>
      </w:r>
      <w:proofErr w:type="gramEnd"/>
      <w:r w:rsidRPr="0081388A">
        <w:rPr>
          <w:rFonts w:cs="Times New Roman"/>
          <w:lang w:val="en-US"/>
        </w:rPr>
        <w:t xml:space="preserve"> on power grid facilities reliability</w:t>
      </w:r>
    </w:p>
    <w:p w14:paraId="09E21550" w14:textId="77777777" w:rsidR="00FA0A7E" w:rsidRPr="0081388A" w:rsidRDefault="00FA0A7E" w:rsidP="0081388A">
      <w:pPr>
        <w:spacing w:after="120" w:line="336" w:lineRule="auto"/>
        <w:rPr>
          <w:rFonts w:cs="Times New Roman"/>
          <w:lang w:val="en-US"/>
        </w:rPr>
      </w:pPr>
    </w:p>
    <w:p w14:paraId="111B8FE5" w14:textId="77777777" w:rsidR="0081388A" w:rsidRPr="0081388A" w:rsidRDefault="0081388A" w:rsidP="0081388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1. Natureza e objetivo</w:t>
      </w:r>
    </w:p>
    <w:p w14:paraId="696BF0EC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O artigo apresenta uma análise comparativa sistemática dos métodos de avaliação da influência de fatores climáticos na confiabilidade de infraestruturas do sistema elétrico, com ênfase explícita em linhas aéreas de transmissão.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br/>
        <w:t>O objetivo central é:</w:t>
      </w:r>
    </w:p>
    <w:p w14:paraId="6D06786E" w14:textId="77777777" w:rsidR="0081388A" w:rsidRPr="0081388A" w:rsidRDefault="0081388A" w:rsidP="0081388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identificar quais fatores climáticos são mais relevantes;</w:t>
      </w:r>
    </w:p>
    <w:p w14:paraId="2C4706FA" w14:textId="77777777" w:rsidR="0081388A" w:rsidRPr="0081388A" w:rsidRDefault="0081388A" w:rsidP="0081388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comparar abordagens metodológicas internacionais;</w:t>
      </w:r>
    </w:p>
    <w:p w14:paraId="3BE377C4" w14:textId="77777777" w:rsidR="0081388A" w:rsidRPr="0081388A" w:rsidRDefault="0081388A" w:rsidP="0081388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avaliar a adequação das normas técnicas atuais face às mudanças climáticas observadas e projetadas.</w:t>
      </w:r>
    </w:p>
    <w:p w14:paraId="207676F7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Trata-se de um trabalho de revisão técnica estruturada, com forte base em dados reais de falhas e normativos internacionais.</w:t>
      </w:r>
    </w:p>
    <w:p w14:paraId="7BBEB69F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4575BA39">
          <v:rect id="_x0000_i1025" style="width:0;height:1.5pt" o:hralign="center" o:hrstd="t" o:hr="t" fillcolor="#a0a0a0" stroked="f"/>
        </w:pict>
      </w:r>
    </w:p>
    <w:p w14:paraId="5E70EA3F" w14:textId="77777777" w:rsidR="0081388A" w:rsidRPr="0081388A" w:rsidRDefault="0081388A" w:rsidP="0081388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2. Contribuições técnicas centrais (muito alinhadas à sua tese)</w:t>
      </w:r>
    </w:p>
    <w:p w14:paraId="2CD74FB9" w14:textId="77777777" w:rsidR="0081388A" w:rsidRPr="0081388A" w:rsidRDefault="0081388A" w:rsidP="0081388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2.1 Evidência quantitativa do papel dominante do clima</w:t>
      </w:r>
    </w:p>
    <w:p w14:paraId="5B1A4811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Com base em dados de NERC (EUA), ENTSO-E (Europa), </w:t>
      </w:r>
      <w:proofErr w:type="spellStart"/>
      <w:r w:rsidRPr="0081388A">
        <w:rPr>
          <w:rFonts w:eastAsia="Times New Roman" w:cs="Times New Roman"/>
          <w:kern w:val="0"/>
          <w:lang w:eastAsia="pt-PT"/>
          <w14:ligatures w14:val="none"/>
        </w:rPr>
        <w:t>Rosseti</w:t>
      </w:r>
      <w:proofErr w:type="spellEnd"/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(Rússia) e China Southern </w:t>
      </w:r>
      <w:proofErr w:type="spellStart"/>
      <w:r w:rsidRPr="0081388A">
        <w:rPr>
          <w:rFonts w:eastAsia="Times New Roman" w:cs="Times New Roman"/>
          <w:kern w:val="0"/>
          <w:lang w:eastAsia="pt-PT"/>
          <w14:ligatures w14:val="none"/>
        </w:rPr>
        <w:t>Power</w:t>
      </w:r>
      <w:proofErr w:type="spellEnd"/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81388A">
        <w:rPr>
          <w:rFonts w:eastAsia="Times New Roman" w:cs="Times New Roman"/>
          <w:kern w:val="0"/>
          <w:lang w:eastAsia="pt-PT"/>
          <w14:ligatures w14:val="none"/>
        </w:rPr>
        <w:t>Grid</w:t>
      </w:r>
      <w:proofErr w:type="spellEnd"/>
      <w:r w:rsidRPr="0081388A">
        <w:rPr>
          <w:rFonts w:eastAsia="Times New Roman" w:cs="Times New Roman"/>
          <w:kern w:val="0"/>
          <w:lang w:eastAsia="pt-PT"/>
          <w14:ligatures w14:val="none"/>
        </w:rPr>
        <w:t>, o artigo demonstra que:</w:t>
      </w:r>
    </w:p>
    <w:p w14:paraId="1A4BA88B" w14:textId="77777777" w:rsidR="0081388A" w:rsidRPr="0081388A" w:rsidRDefault="0081388A" w:rsidP="0081388A">
      <w:pPr>
        <w:numPr>
          <w:ilvl w:val="0"/>
          <w:numId w:val="2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40 % a 63 % das interrupções em grandes sistemas elétricos são causadas por fatores naturais e climáticos (Fig. 2, pág. 3);</w:t>
      </w:r>
    </w:p>
    <w:p w14:paraId="638D9357" w14:textId="77777777" w:rsidR="0081388A" w:rsidRPr="0081388A" w:rsidRDefault="0081388A" w:rsidP="0081388A">
      <w:pPr>
        <w:numPr>
          <w:ilvl w:val="0"/>
          <w:numId w:val="2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vento, gelo, temperatura extrema e descargas atmosféricas são os principais agentes de falha.</w:t>
      </w:r>
    </w:p>
    <w:p w14:paraId="495A6F4F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Este resultado fornece justificação empírica forte para o foco do seu doutoramento.</w:t>
      </w:r>
    </w:p>
    <w:p w14:paraId="2D6D0976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507600BC">
          <v:rect id="_x0000_i1026" style="width:0;height:1.5pt" o:hralign="center" o:hrstd="t" o:hr="t" fillcolor="#a0a0a0" stroked="f"/>
        </w:pict>
      </w:r>
    </w:p>
    <w:p w14:paraId="4B10AC96" w14:textId="77777777" w:rsidR="0081388A" w:rsidRPr="0081388A" w:rsidRDefault="0081388A" w:rsidP="0081388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2.2 Comparação crítica de normas técnicas (Tabela II)</w:t>
      </w:r>
    </w:p>
    <w:p w14:paraId="59B9E396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O artigo compara normas como:</w:t>
      </w:r>
    </w:p>
    <w:p w14:paraId="4B5CDD50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IEC 60826,</w:t>
      </w:r>
    </w:p>
    <w:p w14:paraId="44A32E83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CAN/CSA-C22.3,</w:t>
      </w:r>
    </w:p>
    <w:p w14:paraId="433C395F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ASCE Manual No. 74,</w:t>
      </w:r>
    </w:p>
    <w:p w14:paraId="7871CCEC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NESC,</w:t>
      </w:r>
    </w:p>
    <w:p w14:paraId="40CF6AA7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AS/NZ 1170,</w:t>
      </w:r>
    </w:p>
    <w:p w14:paraId="703B5850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lastRenderedPageBreak/>
        <w:t>JEC-127,</w:t>
      </w:r>
    </w:p>
    <w:p w14:paraId="2FB7F87D" w14:textId="77777777" w:rsidR="0081388A" w:rsidRPr="0081388A" w:rsidRDefault="0081388A" w:rsidP="0081388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PUE (Rússia).</w:t>
      </w:r>
    </w:p>
    <w:p w14:paraId="3FC49DF7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Conclusão central:</w:t>
      </w:r>
    </w:p>
    <w:p w14:paraId="74ECDC4D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Nenhuma das normas considera explicitamente mudanças climáticas futuras nos cálculos de cargas de vento e gelo.</w:t>
      </w:r>
    </w:p>
    <w:p w14:paraId="3DCC726E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Este ponto é extremamente relevante para:</w:t>
      </w:r>
    </w:p>
    <w:p w14:paraId="674EB48F" w14:textId="77777777" w:rsidR="0081388A" w:rsidRPr="0081388A" w:rsidRDefault="0081388A" w:rsidP="0081388A">
      <w:pPr>
        <w:numPr>
          <w:ilvl w:val="0"/>
          <w:numId w:val="4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justificar a inadequação dos critérios atuais de projeto;</w:t>
      </w:r>
    </w:p>
    <w:p w14:paraId="5171C08B" w14:textId="77777777" w:rsidR="0081388A" w:rsidRPr="0081388A" w:rsidRDefault="0081388A" w:rsidP="0081388A">
      <w:pPr>
        <w:numPr>
          <w:ilvl w:val="0"/>
          <w:numId w:val="4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sustentar a necessidade de novas métricas e índices.</w:t>
      </w:r>
    </w:p>
    <w:p w14:paraId="13F4723C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5A0718F1">
          <v:rect id="_x0000_i1027" style="width:0;height:1.5pt" o:hralign="center" o:hrstd="t" o:hr="t" fillcolor="#a0a0a0" stroked="f"/>
        </w:pict>
      </w:r>
    </w:p>
    <w:p w14:paraId="23CF2431" w14:textId="77777777" w:rsidR="0081388A" w:rsidRPr="0081388A" w:rsidRDefault="0081388A" w:rsidP="0081388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2.3 Síntese comparativa de metodologias (Tabela III)</w:t>
      </w:r>
    </w:p>
    <w:p w14:paraId="5CAC2EB6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O artigo organiza e compara métodos probabilísticos modernos, incluindo:</w:t>
      </w:r>
    </w:p>
    <w:p w14:paraId="5488DDD3" w14:textId="77777777" w:rsidR="0081388A" w:rsidRPr="0081388A" w:rsidRDefault="0081388A" w:rsidP="0081388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segmentação de linhas por km;</w:t>
      </w:r>
    </w:p>
    <w:p w14:paraId="21B2BC19" w14:textId="77777777" w:rsidR="0081388A" w:rsidRPr="0081388A" w:rsidRDefault="0081388A" w:rsidP="0081388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modelos de fragilidade dependentes do vento;</w:t>
      </w:r>
    </w:p>
    <w:p w14:paraId="60E6D9C1" w14:textId="77777777" w:rsidR="0081388A" w:rsidRPr="0081388A" w:rsidRDefault="0081388A" w:rsidP="0081388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integração vento + chuva/gelo via distribuições conjuntas;</w:t>
      </w:r>
    </w:p>
    <w:p w14:paraId="133CB6AE" w14:textId="77777777" w:rsidR="0081388A" w:rsidRPr="0081388A" w:rsidRDefault="0081388A" w:rsidP="0081388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uso de Monte Carlo e modelos estruturais;</w:t>
      </w:r>
    </w:p>
    <w:p w14:paraId="1B38E477" w14:textId="77777777" w:rsidR="0081388A" w:rsidRPr="0081388A" w:rsidRDefault="0081388A" w:rsidP="0081388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avaliação por probabilidade de falha de segmentos e torres.</w:t>
      </w:r>
    </w:p>
    <w:p w14:paraId="70A165FF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Esta tabela funciona como um mapa da literatura técnica, incluindo trabalhos que você já selecionou (ex.: </w:t>
      </w:r>
      <w:proofErr w:type="spellStart"/>
      <w:r w:rsidRPr="0081388A">
        <w:rPr>
          <w:rFonts w:eastAsia="Times New Roman" w:cs="Times New Roman"/>
          <w:kern w:val="0"/>
          <w:lang w:eastAsia="pt-PT"/>
          <w14:ligatures w14:val="none"/>
        </w:rPr>
        <w:t>Rezaei</w:t>
      </w:r>
      <w:proofErr w:type="spellEnd"/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81388A">
        <w:rPr>
          <w:rFonts w:eastAsia="Times New Roman" w:cs="Times New Roman"/>
          <w:kern w:val="0"/>
          <w:lang w:eastAsia="pt-PT"/>
          <w14:ligatures w14:val="none"/>
        </w:rPr>
        <w:t>et</w:t>
      </w:r>
      <w:proofErr w:type="spellEnd"/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al., 2016).</w:t>
      </w:r>
    </w:p>
    <w:p w14:paraId="7AD2CD63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5D54BDED">
          <v:rect id="_x0000_i1028" style="width:0;height:1.5pt" o:hralign="center" o:hrstd="t" o:hr="t" fillcolor="#a0a0a0" stroked="f"/>
        </w:pict>
      </w:r>
    </w:p>
    <w:p w14:paraId="041E4295" w14:textId="77777777" w:rsidR="0081388A" w:rsidRPr="0081388A" w:rsidRDefault="0081388A" w:rsidP="0081388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2.4 Limitações dos métodos existentes (lacunas claras)</w:t>
      </w:r>
    </w:p>
    <w:p w14:paraId="17ED0C19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Os autores identificam falhas recorrentes:</w:t>
      </w:r>
    </w:p>
    <w:p w14:paraId="7BF5D6DF" w14:textId="77777777" w:rsidR="0081388A" w:rsidRPr="0081388A" w:rsidRDefault="0081388A" w:rsidP="0081388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uso excessivo de dados climáticos anuais médios (baixa representatividade);</w:t>
      </w:r>
    </w:p>
    <w:p w14:paraId="21412745" w14:textId="77777777" w:rsidR="0081388A" w:rsidRPr="0081388A" w:rsidRDefault="0081388A" w:rsidP="0081388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ausência de direção lateral do vento em muitos modelos;</w:t>
      </w:r>
    </w:p>
    <w:p w14:paraId="5B8C3817" w14:textId="77777777" w:rsidR="0081388A" w:rsidRPr="0081388A" w:rsidRDefault="0081388A" w:rsidP="0081388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foco em confiabilidade, não em resiliência temporal;</w:t>
      </w:r>
    </w:p>
    <w:p w14:paraId="2D50A2C6" w14:textId="77777777" w:rsidR="0081388A" w:rsidRPr="0081388A" w:rsidRDefault="0081388A" w:rsidP="0081388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incapacidade de identificar prioridades de reforço por componente.</w:t>
      </w:r>
    </w:p>
    <w:p w14:paraId="0981464C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➡</w:t>
      </w:r>
      <w:proofErr w:type="gramStart"/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️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Estas</w:t>
      </w:r>
      <w:proofErr w:type="gramEnd"/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lacunas coincidem diretamente com o problema científico da sua tese.</w:t>
      </w:r>
    </w:p>
    <w:p w14:paraId="3F728636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170707EA">
          <v:rect id="_x0000_i1029" style="width:0;height:1.5pt" o:hralign="center" o:hrstd="t" o:hr="t" fillcolor="#a0a0a0" stroked="f"/>
        </w:pict>
      </w:r>
    </w:p>
    <w:p w14:paraId="27938CBA" w14:textId="77777777" w:rsidR="0081388A" w:rsidRPr="0081388A" w:rsidRDefault="0081388A" w:rsidP="0081388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3. Limitações do artigo</w:t>
      </w:r>
    </w:p>
    <w:p w14:paraId="628A7D81" w14:textId="77777777" w:rsidR="0081388A" w:rsidRPr="0081388A" w:rsidRDefault="0081388A" w:rsidP="0081388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O foco permanece em confiabilidade, não em resiliência completa (impacto + recuperação);</w:t>
      </w:r>
    </w:p>
    <w:p w14:paraId="75FDB811" w14:textId="77777777" w:rsidR="0081388A" w:rsidRPr="0081388A" w:rsidRDefault="0081388A" w:rsidP="0081388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lastRenderedPageBreak/>
        <w:t>Não propõe índice de resiliência;</w:t>
      </w:r>
    </w:p>
    <w:p w14:paraId="218B6E32" w14:textId="77777777" w:rsidR="0081388A" w:rsidRPr="0081388A" w:rsidRDefault="0081388A" w:rsidP="0081388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Não modela explicitamente curvas desempenho × tempo.</w:t>
      </w:r>
    </w:p>
    <w:p w14:paraId="7D0F3E1D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⚠</w:t>
      </w:r>
      <w:proofErr w:type="gramStart"/>
      <w:r w:rsidRPr="0081388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️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t xml:space="preserve"> Contudo</w:t>
      </w:r>
      <w:proofErr w:type="gramEnd"/>
      <w:r w:rsidRPr="0081388A">
        <w:rPr>
          <w:rFonts w:eastAsia="Times New Roman" w:cs="Times New Roman"/>
          <w:kern w:val="0"/>
          <w:lang w:eastAsia="pt-PT"/>
          <w14:ligatures w14:val="none"/>
        </w:rPr>
        <w:t>, estas limitações são assumidas pelos próprios autores e reforçam a motivação para trabalhos como o seu.</w:t>
      </w:r>
    </w:p>
    <w:p w14:paraId="4CCEE974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pict w14:anchorId="03C7552F">
          <v:rect id="_x0000_i1030" style="width:0;height:1.5pt" o:hralign="center" o:hrstd="t" o:hr="t" fillcolor="#a0a0a0" stroked="f"/>
        </w:pict>
      </w:r>
    </w:p>
    <w:p w14:paraId="38DED7FD" w14:textId="77777777" w:rsidR="0081388A" w:rsidRPr="0081388A" w:rsidRDefault="0081388A" w:rsidP="0081388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4. Valor específico para o seu doutoramento</w:t>
      </w:r>
    </w:p>
    <w:p w14:paraId="5810DE60" w14:textId="77777777" w:rsidR="0081388A" w:rsidRPr="0081388A" w:rsidRDefault="0081388A" w:rsidP="0081388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Este artigo é particularmente útil para:</w:t>
      </w:r>
    </w:p>
    <w:p w14:paraId="1A2FDE12" w14:textId="77777777" w:rsidR="0081388A" w:rsidRPr="0081388A" w:rsidRDefault="0081388A" w:rsidP="0081388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Estado da arte técnico sobre clima × linhas de transmissão;</w:t>
      </w:r>
    </w:p>
    <w:p w14:paraId="3967202C" w14:textId="77777777" w:rsidR="0081388A" w:rsidRPr="0081388A" w:rsidRDefault="0081388A" w:rsidP="0081388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justificar a necessidade de atualização normativa;</w:t>
      </w:r>
    </w:p>
    <w:p w14:paraId="444A0456" w14:textId="77777777" w:rsidR="0081388A" w:rsidRPr="0081388A" w:rsidRDefault="0081388A" w:rsidP="0081388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mostrar que:</w:t>
      </w:r>
    </w:p>
    <w:p w14:paraId="6695349A" w14:textId="77777777" w:rsidR="0081388A" w:rsidRPr="0081388A" w:rsidRDefault="0081388A" w:rsidP="0081388A">
      <w:pPr>
        <w:spacing w:after="120" w:line="336" w:lineRule="auto"/>
        <w:ind w:left="720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i/>
          <w:iCs/>
          <w:kern w:val="0"/>
          <w:lang w:eastAsia="pt-PT"/>
          <w14:ligatures w14:val="none"/>
        </w:rPr>
        <w:t>há muitos modelos parciais, mas falta uma métrica simples, integrada e operacional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050FDE3A" w14:textId="77777777" w:rsidR="0081388A" w:rsidRPr="0081388A" w:rsidRDefault="0081388A" w:rsidP="0081388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81388A">
        <w:rPr>
          <w:rFonts w:eastAsia="Times New Roman" w:cs="Times New Roman"/>
          <w:kern w:val="0"/>
          <w:lang w:eastAsia="pt-PT"/>
          <w14:ligatures w14:val="none"/>
        </w:rPr>
        <w:t>apoiar a transição:</w:t>
      </w:r>
      <w:r w:rsidRPr="0081388A">
        <w:rPr>
          <w:rFonts w:eastAsia="Times New Roman" w:cs="Times New Roman"/>
          <w:kern w:val="0"/>
          <w:lang w:eastAsia="pt-PT"/>
          <w14:ligatures w14:val="none"/>
        </w:rPr>
        <w:br/>
        <w:t>confiabilidade estrutural → resiliência de linhas.</w:t>
      </w:r>
    </w:p>
    <w:p w14:paraId="729EFF6D" w14:textId="77777777" w:rsidR="00FA0A7E" w:rsidRPr="0081388A" w:rsidRDefault="00FA0A7E" w:rsidP="0081388A">
      <w:pPr>
        <w:spacing w:after="120" w:line="336" w:lineRule="auto"/>
        <w:rPr>
          <w:rFonts w:cs="Times New Roman"/>
        </w:rPr>
      </w:pPr>
    </w:p>
    <w:sectPr w:rsidR="00FA0A7E" w:rsidRPr="0081388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B50"/>
    <w:multiLevelType w:val="multilevel"/>
    <w:tmpl w:val="BD2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6650"/>
    <w:multiLevelType w:val="multilevel"/>
    <w:tmpl w:val="B27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48C5"/>
    <w:multiLevelType w:val="multilevel"/>
    <w:tmpl w:val="07A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81AC7"/>
    <w:multiLevelType w:val="multilevel"/>
    <w:tmpl w:val="E54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14F5A"/>
    <w:multiLevelType w:val="multilevel"/>
    <w:tmpl w:val="CC8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433DF"/>
    <w:multiLevelType w:val="multilevel"/>
    <w:tmpl w:val="851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63D4D"/>
    <w:multiLevelType w:val="multilevel"/>
    <w:tmpl w:val="E01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B7C6E"/>
    <w:multiLevelType w:val="multilevel"/>
    <w:tmpl w:val="943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3978">
    <w:abstractNumId w:val="6"/>
  </w:num>
  <w:num w:numId="2" w16cid:durableId="628365322">
    <w:abstractNumId w:val="2"/>
  </w:num>
  <w:num w:numId="3" w16cid:durableId="1892304168">
    <w:abstractNumId w:val="5"/>
  </w:num>
  <w:num w:numId="4" w16cid:durableId="1682778551">
    <w:abstractNumId w:val="4"/>
  </w:num>
  <w:num w:numId="5" w16cid:durableId="1042438182">
    <w:abstractNumId w:val="1"/>
  </w:num>
  <w:num w:numId="6" w16cid:durableId="160856462">
    <w:abstractNumId w:val="7"/>
  </w:num>
  <w:num w:numId="7" w16cid:durableId="1715540690">
    <w:abstractNumId w:val="0"/>
  </w:num>
  <w:num w:numId="8" w16cid:durableId="118910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7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388A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0A7E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F11ED"/>
  <w15:chartTrackingRefBased/>
  <w15:docId w15:val="{0DF1D1D9-DBD8-4FCA-9B30-5EDF0F9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7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7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7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7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7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A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7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A0A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8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1388A"/>
    <w:rPr>
      <w:b/>
      <w:bCs/>
    </w:rPr>
  </w:style>
  <w:style w:type="character" w:styleId="Emphasis">
    <w:name w:val="Emphasis"/>
    <w:basedOn w:val="DefaultParagraphFont"/>
    <w:uiPriority w:val="20"/>
    <w:qFormat/>
    <w:rsid w:val="008138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2026-01-01T17:32:00Z</dcterms:created>
  <dcterms:modified xsi:type="dcterms:W3CDTF">2026-01-01T17:33:00Z</dcterms:modified>
</cp:coreProperties>
</file>