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AEF05" w14:textId="77777777" w:rsidR="00CD5915" w:rsidRDefault="00CD5915" w:rsidP="00CD5915">
      <w:proofErr w:type="spellStart"/>
      <w:r>
        <w:t>Título</w:t>
      </w:r>
      <w:proofErr w:type="spellEnd"/>
      <w:r>
        <w:t>: A Quantified Resilience Assessment Approach for Electrical Power Systems Considering Multiple Transmission Line Outages</w:t>
      </w:r>
    </w:p>
    <w:p w14:paraId="12EDA62C" w14:textId="77777777" w:rsidR="00CD5915" w:rsidRDefault="00CD5915" w:rsidP="00CD5915"/>
    <w:p w14:paraId="68208DD9" w14:textId="77777777" w:rsidR="00CD5915" w:rsidRDefault="00CD5915" w:rsidP="00CD5915">
      <w:proofErr w:type="spellStart"/>
      <w:r>
        <w:t>Autores</w:t>
      </w:r>
      <w:proofErr w:type="spellEnd"/>
      <w:r>
        <w:t xml:space="preserve">: </w:t>
      </w:r>
      <w:proofErr w:type="spellStart"/>
      <w:r>
        <w:t>Xiaonan</w:t>
      </w:r>
      <w:proofErr w:type="spellEnd"/>
      <w:r>
        <w:t xml:space="preserve"> Liu, Kai Hou, Hongjie Jia, </w:t>
      </w:r>
      <w:proofErr w:type="spellStart"/>
      <w:r>
        <w:t>Yunfei</w:t>
      </w:r>
      <w:proofErr w:type="spellEnd"/>
      <w:r>
        <w:t xml:space="preserve"> Mu, Xiaodan Yu, Yue Wang, Jialin Dong</w:t>
      </w:r>
    </w:p>
    <w:p w14:paraId="7A6D7E42" w14:textId="77777777" w:rsidR="00CD5915" w:rsidRDefault="00CD5915" w:rsidP="00CD5915"/>
    <w:p w14:paraId="43EEA190" w14:textId="2730AE27" w:rsidR="00CD5915" w:rsidRDefault="00CD5915" w:rsidP="00CD5915">
      <w:proofErr w:type="spellStart"/>
      <w:r>
        <w:t>Afilições</w:t>
      </w:r>
      <w:proofErr w:type="spellEnd"/>
      <w:r>
        <w:t>: Key Laboratory of Smart Grid of Ministry of Education, Tianjin University; State Grid</w:t>
      </w:r>
      <w:r>
        <w:t xml:space="preserve"> </w:t>
      </w:r>
      <w:r>
        <w:t>Tianjin Electric Power Company</w:t>
      </w:r>
    </w:p>
    <w:p w14:paraId="5E1A244C" w14:textId="77777777" w:rsidR="00CD5915" w:rsidRDefault="00CD5915" w:rsidP="00CD5915"/>
    <w:p w14:paraId="34B8E216" w14:textId="77777777" w:rsid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Publicado em: IEEE </w:t>
      </w:r>
      <w:proofErr w:type="spellStart"/>
      <w:r w:rsidRPr="00CD5915">
        <w:rPr>
          <w:lang w:val="pt-BR"/>
        </w:rPr>
        <w:t>Electrical</w:t>
      </w:r>
      <w:proofErr w:type="spellEnd"/>
      <w:r w:rsidRPr="00CD5915">
        <w:rPr>
          <w:lang w:val="pt-BR"/>
        </w:rPr>
        <w:t xml:space="preserve"> Power </w:t>
      </w:r>
      <w:proofErr w:type="spellStart"/>
      <w:r w:rsidRPr="00CD5915">
        <w:rPr>
          <w:lang w:val="pt-BR"/>
        </w:rPr>
        <w:t>and</w:t>
      </w:r>
      <w:proofErr w:type="spellEnd"/>
      <w:r w:rsidRPr="00CD5915">
        <w:rPr>
          <w:lang w:val="pt-BR"/>
        </w:rPr>
        <w:t xml:space="preserve"> Energy </w:t>
      </w:r>
      <w:proofErr w:type="spellStart"/>
      <w:r w:rsidRPr="00CD5915">
        <w:rPr>
          <w:lang w:val="pt-BR"/>
        </w:rPr>
        <w:t>Conference</w:t>
      </w:r>
      <w:proofErr w:type="spellEnd"/>
      <w:r w:rsidRPr="00CD5915">
        <w:rPr>
          <w:lang w:val="pt-BR"/>
        </w:rPr>
        <w:t xml:space="preserve"> (EPEC), 2017</w:t>
      </w:r>
    </w:p>
    <w:p w14:paraId="3CB38044" w14:textId="77777777" w:rsidR="00CD5915" w:rsidRPr="00CD5915" w:rsidRDefault="00CD5915" w:rsidP="00CD5915">
      <w:pPr>
        <w:rPr>
          <w:lang w:val="pt-BR"/>
        </w:rPr>
      </w:pPr>
    </w:p>
    <w:p w14:paraId="33C6387D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2. Resumo do Abstract em </w:t>
      </w:r>
      <w:proofErr w:type="gramStart"/>
      <w:r w:rsidRPr="00CD5915">
        <w:rPr>
          <w:lang w:val="pt-BR"/>
        </w:rPr>
        <w:t>Português</w:t>
      </w:r>
      <w:proofErr w:type="gramEnd"/>
    </w:p>
    <w:p w14:paraId="5671ECB9" w14:textId="77777777" w:rsidR="00CD5915" w:rsidRDefault="00CD5915" w:rsidP="00CD5915">
      <w:pPr>
        <w:rPr>
          <w:lang w:val="pt-BR"/>
        </w:rPr>
      </w:pPr>
      <w:r w:rsidRPr="00CD5915">
        <w:rPr>
          <w:lang w:val="pt-BR"/>
        </w:rPr>
        <w:t>O artigo propõe um método quantificado para avaliação da resiliência de sistemas elétricos considerando múltiplas falhas em linhas de transmissão, com base em índices de resiliência em dois níveis: sistema e componente. A metodologia permite simular eventos disruptivos e medir robustez, rapidez e frequência associadas a diferentes topologias e contingências, visando identificar pontos fracos e propor estratégias de reforço direcionadas. A abordagem é validada no sistema teste IEEE RTS-79 sob condições N-1, N-2 e N-3.</w:t>
      </w:r>
    </w:p>
    <w:p w14:paraId="0963AB17" w14:textId="77777777" w:rsidR="00CD5915" w:rsidRPr="00CD5915" w:rsidRDefault="00CD5915" w:rsidP="00CD5915">
      <w:pPr>
        <w:rPr>
          <w:lang w:val="pt-BR"/>
        </w:rPr>
      </w:pPr>
    </w:p>
    <w:p w14:paraId="6B9362D3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3. Introdução</w:t>
      </w:r>
    </w:p>
    <w:p w14:paraId="10432EE4" w14:textId="77777777" w:rsid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O estudo parte da constatação de que falhas múltiplas em linhas de transmissão causadas por desastres naturais ou ataques intencionais podem comprometer seriamente a operação segura de sistemas elétricos, mesmo quando atendem a critérios de confiabilidade tradicionais. Dessa forma, introduz-se a resiliência como uma métrica mais ampla e dinâmica. Os autores fundamentam-se nos '4Rs' (robustez, redundância, rapidez e engenhosidade) conforme </w:t>
      </w:r>
      <w:proofErr w:type="spellStart"/>
      <w:r w:rsidRPr="00CD5915">
        <w:rPr>
          <w:lang w:val="pt-BR"/>
        </w:rPr>
        <w:t>Bruneau</w:t>
      </w:r>
      <w:proofErr w:type="spellEnd"/>
      <w:r w:rsidRPr="00CD5915">
        <w:rPr>
          <w:lang w:val="pt-BR"/>
        </w:rPr>
        <w:t xml:space="preserve"> et al. (2003), propondo um modelo que mede quantitativamente a perda de desempenho funcional ao longo do tempo — a área sob a curva de queda e recuperação de desempenho, também chamada de 'triângulo de resiliência'.</w:t>
      </w:r>
    </w:p>
    <w:p w14:paraId="5EFCF191" w14:textId="77777777" w:rsidR="00CD5915" w:rsidRPr="00CD5915" w:rsidRDefault="00CD5915" w:rsidP="00CD5915">
      <w:pPr>
        <w:rPr>
          <w:lang w:val="pt-BR"/>
        </w:rPr>
      </w:pPr>
    </w:p>
    <w:p w14:paraId="7C6AAC94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4. Metodologia</w:t>
      </w:r>
    </w:p>
    <w:p w14:paraId="236B9C1C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A proposta metodológica divide-se em três partes:</w:t>
      </w:r>
    </w:p>
    <w:p w14:paraId="725098D7" w14:textId="77777777" w:rsidR="00CD5915" w:rsidRPr="00CD5915" w:rsidRDefault="00CD5915" w:rsidP="00CD5915">
      <w:pPr>
        <w:rPr>
          <w:lang w:val="pt-BR"/>
        </w:rPr>
      </w:pPr>
    </w:p>
    <w:p w14:paraId="19045290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- Definição de índices de resiliência nos níveis do sistema e dos componentes:</w:t>
      </w:r>
    </w:p>
    <w:p w14:paraId="55E02BDD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   • Robustez (</w:t>
      </w:r>
      <w:r>
        <w:t>Δ</w:t>
      </w:r>
      <w:r w:rsidRPr="00CD5915">
        <w:rPr>
          <w:lang w:val="pt-BR"/>
        </w:rPr>
        <w:t>Q): violação de tensão nas barras após falha;</w:t>
      </w:r>
    </w:p>
    <w:p w14:paraId="13FF970D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   • Rapidez (</w:t>
      </w:r>
      <w:r>
        <w:t>Δ</w:t>
      </w:r>
      <w:r w:rsidRPr="00CD5915">
        <w:rPr>
          <w:lang w:val="pt-BR"/>
        </w:rPr>
        <w:t>t): tempo de recuperação até operação normal;</w:t>
      </w:r>
    </w:p>
    <w:p w14:paraId="4F52986D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   • Frequência (</w:t>
      </w:r>
      <w:proofErr w:type="spellStart"/>
      <w:r w:rsidRPr="00CD5915">
        <w:rPr>
          <w:lang w:val="pt-BR"/>
        </w:rPr>
        <w:t>fi</w:t>
      </w:r>
      <w:proofErr w:type="spellEnd"/>
      <w:r w:rsidRPr="00CD5915">
        <w:rPr>
          <w:lang w:val="pt-BR"/>
        </w:rPr>
        <w:t>): frequência de ocorrência da falha, calculada via Cadeia de Markov.</w:t>
      </w:r>
    </w:p>
    <w:p w14:paraId="2EAE6B1C" w14:textId="77777777" w:rsidR="00CD5915" w:rsidRPr="00CD5915" w:rsidRDefault="00CD5915" w:rsidP="00CD5915">
      <w:pPr>
        <w:rPr>
          <w:lang w:val="pt-BR"/>
        </w:rPr>
      </w:pPr>
    </w:p>
    <w:p w14:paraId="744FDF05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- Cálculo dos índices via simulação de fluxo de carga com restrições de rampa dos geradores para quantificar a resposta dinâmica do sistema.</w:t>
      </w:r>
    </w:p>
    <w:p w14:paraId="372BB874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- Proposição de medidas de reforço com base nos resultados dos índices (manutenção, armazenamento de energia e compensação reativa).</w:t>
      </w:r>
    </w:p>
    <w:p w14:paraId="23501AE0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lastRenderedPageBreak/>
        <w:t>5. Resultados</w:t>
      </w:r>
    </w:p>
    <w:p w14:paraId="5323C9F5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Os índices foram aplicados ao sistema IEEE RTS-79. Os eventos N-1, N-2 e N-3 foram simulados. O índice de resiliência global reduziu significativamente conforme o número de falhas aumentou, com valores de 7.506 (N-1), 1.063 (N-2) e 0.032 (N-3).</w:t>
      </w:r>
    </w:p>
    <w:p w14:paraId="1F0799E4" w14:textId="77777777" w:rsidR="00CD5915" w:rsidRDefault="00CD5915" w:rsidP="00CD5915">
      <w:pPr>
        <w:rPr>
          <w:lang w:val="pt-BR"/>
        </w:rPr>
      </w:pPr>
      <w:r w:rsidRPr="00CD5915">
        <w:rPr>
          <w:lang w:val="pt-BR"/>
        </w:rPr>
        <w:t>A barra 6 foi identificada como o ponto mais fraco do sistema devido à sua dependência de uma única linha (2-6) com alta reatância após falha da linha 6-10, levando a tensões críticas.</w:t>
      </w:r>
    </w:p>
    <w:p w14:paraId="3C95BAF3" w14:textId="77777777" w:rsidR="00CD5915" w:rsidRPr="00CD5915" w:rsidRDefault="00CD5915" w:rsidP="00CD5915">
      <w:pPr>
        <w:rPr>
          <w:lang w:val="pt-BR"/>
        </w:rPr>
      </w:pPr>
    </w:p>
    <w:p w14:paraId="01A78A29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Três estratégias foram comparadas:</w:t>
      </w:r>
    </w:p>
    <w:p w14:paraId="136C0191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• A: Melhorar manutenção da linha 6-10 (reduz frequência </w:t>
      </w:r>
      <w:proofErr w:type="spellStart"/>
      <w:r w:rsidRPr="00CD5915">
        <w:rPr>
          <w:lang w:val="pt-BR"/>
        </w:rPr>
        <w:t>Rf</w:t>
      </w:r>
      <w:proofErr w:type="spellEnd"/>
      <w:r w:rsidRPr="00CD5915">
        <w:rPr>
          <w:lang w:val="pt-BR"/>
        </w:rPr>
        <w:t>);</w:t>
      </w:r>
    </w:p>
    <w:p w14:paraId="3184D3C5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• B: Instalar armazenamento de 68 MVA na barra 6 (reduz rapidez </w:t>
      </w:r>
      <w:proofErr w:type="spellStart"/>
      <w:r w:rsidRPr="00CD5915">
        <w:rPr>
          <w:lang w:val="pt-BR"/>
        </w:rPr>
        <w:t>Rt</w:t>
      </w:r>
      <w:proofErr w:type="spellEnd"/>
      <w:r w:rsidRPr="00CD5915">
        <w:rPr>
          <w:lang w:val="pt-BR"/>
        </w:rPr>
        <w:t>);</w:t>
      </w:r>
    </w:p>
    <w:p w14:paraId="4FBD0578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• C: Instalar compensação reativa de 33 </w:t>
      </w:r>
      <w:proofErr w:type="spellStart"/>
      <w:r w:rsidRPr="00CD5915">
        <w:rPr>
          <w:lang w:val="pt-BR"/>
        </w:rPr>
        <w:t>MVar</w:t>
      </w:r>
      <w:proofErr w:type="spellEnd"/>
      <w:r w:rsidRPr="00CD5915">
        <w:rPr>
          <w:lang w:val="pt-BR"/>
        </w:rPr>
        <w:t xml:space="preserve"> (reduz robustez RQ).</w:t>
      </w:r>
    </w:p>
    <w:p w14:paraId="2187A712" w14:textId="77777777" w:rsid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A estratégia C foi a mais eficaz e econômica, reduzindo </w:t>
      </w:r>
      <w:proofErr w:type="spellStart"/>
      <w:r w:rsidRPr="00CD5915">
        <w:rPr>
          <w:lang w:val="pt-BR"/>
        </w:rPr>
        <w:t>Rbus</w:t>
      </w:r>
      <w:proofErr w:type="spellEnd"/>
      <w:r w:rsidRPr="00CD5915">
        <w:rPr>
          <w:lang w:val="pt-BR"/>
        </w:rPr>
        <w:t xml:space="preserve"> de 5.232 para 3.369.</w:t>
      </w:r>
    </w:p>
    <w:p w14:paraId="2DF00E92" w14:textId="77777777" w:rsidR="00CD5915" w:rsidRPr="00CD5915" w:rsidRDefault="00CD5915" w:rsidP="00CD5915">
      <w:pPr>
        <w:rPr>
          <w:lang w:val="pt-BR"/>
        </w:rPr>
      </w:pPr>
    </w:p>
    <w:p w14:paraId="6C2130DB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6. Discussão</w:t>
      </w:r>
    </w:p>
    <w:p w14:paraId="505C4129" w14:textId="77777777" w:rsidR="00CD5915" w:rsidRDefault="00CD5915" w:rsidP="00CD5915">
      <w:pPr>
        <w:rPr>
          <w:lang w:val="pt-BR"/>
        </w:rPr>
      </w:pPr>
      <w:r w:rsidRPr="00CD5915">
        <w:rPr>
          <w:lang w:val="pt-BR"/>
        </w:rPr>
        <w:t>O modelo quantificado proposto representa um avanço ao permitir que se avaliem simultaneamente diferentes dimensões da resiliência com base em dados físicos e operacionais. Ao simular diretamente o efeito de falhas múltiplas nas linhas — independentemente da natureza do evento disruptivo — a metodologia torna-se versátil e aplicável a diversos tipos de ameaça. O uso de índices distintos (</w:t>
      </w:r>
      <w:proofErr w:type="spellStart"/>
      <w:r w:rsidRPr="00CD5915">
        <w:rPr>
          <w:lang w:val="pt-BR"/>
        </w:rPr>
        <w:t>Rf</w:t>
      </w:r>
      <w:proofErr w:type="spellEnd"/>
      <w:r w:rsidRPr="00CD5915">
        <w:rPr>
          <w:lang w:val="pt-BR"/>
        </w:rPr>
        <w:t xml:space="preserve">, </w:t>
      </w:r>
      <w:proofErr w:type="spellStart"/>
      <w:r w:rsidRPr="00CD5915">
        <w:rPr>
          <w:lang w:val="pt-BR"/>
        </w:rPr>
        <w:t>Rt</w:t>
      </w:r>
      <w:proofErr w:type="spellEnd"/>
      <w:r w:rsidRPr="00CD5915">
        <w:rPr>
          <w:lang w:val="pt-BR"/>
        </w:rPr>
        <w:t>, RQ) permite direcionar medidas de reforço conforme o tipo de vulnerabilidade predominante em cada barra.</w:t>
      </w:r>
    </w:p>
    <w:p w14:paraId="5C27DA2F" w14:textId="77777777" w:rsidR="00CD5915" w:rsidRPr="00CD5915" w:rsidRDefault="00CD5915" w:rsidP="00CD5915">
      <w:pPr>
        <w:rPr>
          <w:lang w:val="pt-BR"/>
        </w:rPr>
      </w:pPr>
    </w:p>
    <w:p w14:paraId="7E3CA89E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7. Conclusão Crítica</w:t>
      </w:r>
    </w:p>
    <w:p w14:paraId="781DB6B9" w14:textId="77777777" w:rsidR="00CD5915" w:rsidRDefault="00CD5915" w:rsidP="00CD5915">
      <w:pPr>
        <w:rPr>
          <w:lang w:val="pt-BR"/>
        </w:rPr>
      </w:pPr>
      <w:r w:rsidRPr="00CD5915">
        <w:rPr>
          <w:lang w:val="pt-BR"/>
        </w:rPr>
        <w:t>A metodologia proposta por Liu et al. (2017) constitui um importante avanço para planejamento e operação resiliente de sistemas elétricos. A abordagem combinada de avaliação e proposta de reforço baseada em índices quantitativos possibilita intervenções direcionadas e eficientes. Como limitação, destaca-se que o modelo assume linearidade e simetria em certos parâmetros, não incluindo efeitos dinâmicos mais complexos como falhas em cascata ou modelagem não linear do tempo de resposta.</w:t>
      </w:r>
    </w:p>
    <w:p w14:paraId="562136C7" w14:textId="77777777" w:rsidR="00CD5915" w:rsidRPr="00CD5915" w:rsidRDefault="00CD5915" w:rsidP="00CD5915">
      <w:pPr>
        <w:rPr>
          <w:lang w:val="pt-BR"/>
        </w:rPr>
      </w:pPr>
    </w:p>
    <w:p w14:paraId="26F7C4D4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8. Resumo dos Achados Principais</w:t>
      </w:r>
    </w:p>
    <w:p w14:paraId="0A46C8F8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- Proposta de índices de resiliência nos níveis do sistema e componente;</w:t>
      </w:r>
    </w:p>
    <w:p w14:paraId="58987E4D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- Aplicação da metodologia em contingências N-1 a N-3 no IEEE RTS-79;</w:t>
      </w:r>
    </w:p>
    <w:p w14:paraId="6D323041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- Identificação da barra 6 como ponto crítico;</w:t>
      </w:r>
    </w:p>
    <w:p w14:paraId="3972171D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- Comparação entre estratégias de reforço estruturais e operacionais;</w:t>
      </w:r>
    </w:p>
    <w:p w14:paraId="68ED83C8" w14:textId="77777777" w:rsidR="00CD5915" w:rsidRDefault="00CD5915" w:rsidP="00CD5915">
      <w:pPr>
        <w:rPr>
          <w:lang w:val="pt-BR"/>
        </w:rPr>
      </w:pPr>
      <w:r w:rsidRPr="00CD5915">
        <w:rPr>
          <w:lang w:val="pt-BR"/>
        </w:rPr>
        <w:t>- Seleção da compensação reativa como alternativa de melhor custo-benefício.</w:t>
      </w:r>
    </w:p>
    <w:p w14:paraId="3F1FBF9C" w14:textId="77777777" w:rsidR="00CD5915" w:rsidRPr="00CD5915" w:rsidRDefault="00CD5915" w:rsidP="00CD5915">
      <w:pPr>
        <w:rPr>
          <w:lang w:val="pt-BR"/>
        </w:rPr>
      </w:pPr>
    </w:p>
    <w:p w14:paraId="7AE57E19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9. Descrição Técnica de Figuras, Tabelas e Gráficos</w:t>
      </w:r>
    </w:p>
    <w:p w14:paraId="51237B3E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• Figura 1: Triângulo de resiliência funcional mostrando queda e recuperação do sistema ao longo do tempo.</w:t>
      </w:r>
    </w:p>
    <w:p w14:paraId="593BE498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 xml:space="preserve">• Figura 2: Gráfico radar dos índices </w:t>
      </w:r>
      <w:proofErr w:type="spellStart"/>
      <w:r w:rsidRPr="00CD5915">
        <w:rPr>
          <w:lang w:val="pt-BR"/>
        </w:rPr>
        <w:t>Rf</w:t>
      </w:r>
      <w:proofErr w:type="spellEnd"/>
      <w:r w:rsidRPr="00CD5915">
        <w:rPr>
          <w:lang w:val="pt-BR"/>
        </w:rPr>
        <w:t xml:space="preserve">, </w:t>
      </w:r>
      <w:proofErr w:type="spellStart"/>
      <w:r w:rsidRPr="00CD5915">
        <w:rPr>
          <w:lang w:val="pt-BR"/>
        </w:rPr>
        <w:t>Rt</w:t>
      </w:r>
      <w:proofErr w:type="spellEnd"/>
      <w:r w:rsidRPr="00CD5915">
        <w:rPr>
          <w:lang w:val="pt-BR"/>
        </w:rPr>
        <w:t xml:space="preserve"> e RQ para componentes.</w:t>
      </w:r>
    </w:p>
    <w:p w14:paraId="69BD8AB6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lastRenderedPageBreak/>
        <w:t>• Figura 3: Ilustração dos efeitos de cada estratégia de reforço sobre os índices de resiliência.</w:t>
      </w:r>
    </w:p>
    <w:p w14:paraId="277F4CBF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• Figura 4: Resultados dos índices de tensão nas barras.</w:t>
      </w:r>
    </w:p>
    <w:p w14:paraId="59B0130D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• Figura 5: Comparativo entre os efeitos dos esquemas A, B e C.</w:t>
      </w:r>
    </w:p>
    <w:p w14:paraId="52D7C77E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• Tabela I: Taxas de rampa dos geradores utilizados na simulação.</w:t>
      </w:r>
    </w:p>
    <w:p w14:paraId="3B0D0A96" w14:textId="77777777" w:rsidR="00CD5915" w:rsidRPr="00CD5915" w:rsidRDefault="00CD5915" w:rsidP="00CD5915">
      <w:pPr>
        <w:rPr>
          <w:lang w:val="pt-BR"/>
        </w:rPr>
      </w:pPr>
      <w:r w:rsidRPr="00CD5915">
        <w:rPr>
          <w:lang w:val="pt-BR"/>
        </w:rPr>
        <w:t>• Tabela II: Índices de resiliência para eventos N-1 a N-3.</w:t>
      </w:r>
    </w:p>
    <w:sectPr w:rsidR="00CD5915" w:rsidRPr="00CD5915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915"/>
    <w:rsid w:val="000131F2"/>
    <w:rsid w:val="00050A60"/>
    <w:rsid w:val="0007293B"/>
    <w:rsid w:val="0008424C"/>
    <w:rsid w:val="00096FFB"/>
    <w:rsid w:val="000C5A52"/>
    <w:rsid w:val="000C625D"/>
    <w:rsid w:val="000D45BD"/>
    <w:rsid w:val="00172112"/>
    <w:rsid w:val="00172264"/>
    <w:rsid w:val="00196796"/>
    <w:rsid w:val="001F4610"/>
    <w:rsid w:val="0022366E"/>
    <w:rsid w:val="0024739D"/>
    <w:rsid w:val="00285BB1"/>
    <w:rsid w:val="00347332"/>
    <w:rsid w:val="00393441"/>
    <w:rsid w:val="0039444F"/>
    <w:rsid w:val="003F704C"/>
    <w:rsid w:val="004234AF"/>
    <w:rsid w:val="00423B9B"/>
    <w:rsid w:val="00435A17"/>
    <w:rsid w:val="004B5BB7"/>
    <w:rsid w:val="004E20B1"/>
    <w:rsid w:val="00502614"/>
    <w:rsid w:val="005272F0"/>
    <w:rsid w:val="00595B01"/>
    <w:rsid w:val="0061413D"/>
    <w:rsid w:val="006363A1"/>
    <w:rsid w:val="00744A15"/>
    <w:rsid w:val="00785F46"/>
    <w:rsid w:val="007E0455"/>
    <w:rsid w:val="007E69F0"/>
    <w:rsid w:val="00804B85"/>
    <w:rsid w:val="008226B2"/>
    <w:rsid w:val="008C0D5E"/>
    <w:rsid w:val="00A04542"/>
    <w:rsid w:val="00A74270"/>
    <w:rsid w:val="00A773DD"/>
    <w:rsid w:val="00A91291"/>
    <w:rsid w:val="00AA4524"/>
    <w:rsid w:val="00AC5231"/>
    <w:rsid w:val="00B753F9"/>
    <w:rsid w:val="00B7708D"/>
    <w:rsid w:val="00B811CD"/>
    <w:rsid w:val="00BC1242"/>
    <w:rsid w:val="00BD2C19"/>
    <w:rsid w:val="00BF51C6"/>
    <w:rsid w:val="00C03A12"/>
    <w:rsid w:val="00CC6B35"/>
    <w:rsid w:val="00CD5915"/>
    <w:rsid w:val="00CE4C5C"/>
    <w:rsid w:val="00D25A09"/>
    <w:rsid w:val="00D36EA1"/>
    <w:rsid w:val="00D63D8E"/>
    <w:rsid w:val="00E26197"/>
    <w:rsid w:val="00E2772A"/>
    <w:rsid w:val="00E5575A"/>
    <w:rsid w:val="00ED59D0"/>
    <w:rsid w:val="00EF273B"/>
    <w:rsid w:val="00F27993"/>
    <w:rsid w:val="00F7611F"/>
    <w:rsid w:val="00F7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6E436"/>
  <w15:chartTrackingRefBased/>
  <w15:docId w15:val="{4DB7CD93-4515-4AD7-8727-CA33255D7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D591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D591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D591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D591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D591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CD5915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D5915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D5915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D5915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D5915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CD591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D591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D59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D5915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CD59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785</Words>
  <Characters>4240</Characters>
  <Application>Microsoft Office Word</Application>
  <DocSecurity>0</DocSecurity>
  <Lines>35</Lines>
  <Paragraphs>10</Paragraphs>
  <ScaleCrop>false</ScaleCrop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</cp:revision>
  <dcterms:created xsi:type="dcterms:W3CDTF">2025-05-11T09:07:00Z</dcterms:created>
  <dcterms:modified xsi:type="dcterms:W3CDTF">2025-05-11T09:08:00Z</dcterms:modified>
</cp:coreProperties>
</file>