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AB98" w14:textId="4086FF21" w:rsidR="00AC5231" w:rsidRDefault="0077492C">
      <w:pPr>
        <w:rPr>
          <w:lang w:val="en-US"/>
        </w:rPr>
      </w:pPr>
      <w:r w:rsidRPr="0077492C">
        <w:rPr>
          <w:lang w:val="en-US"/>
        </w:rPr>
        <w:t xml:space="preserve">Climate change concerns and </w:t>
      </w:r>
      <w:proofErr w:type="spellStart"/>
      <w:r w:rsidRPr="0077492C">
        <w:rPr>
          <w:lang w:val="en-US"/>
        </w:rPr>
        <w:t>finnish</w:t>
      </w:r>
      <w:proofErr w:type="spellEnd"/>
      <w:r w:rsidRPr="0077492C">
        <w:rPr>
          <w:lang w:val="en-US"/>
        </w:rPr>
        <w:t xml:space="preserve"> electric power supply security performance</w:t>
      </w:r>
    </w:p>
    <w:p w14:paraId="0CBA3AB8" w14:textId="77777777" w:rsidR="0077492C" w:rsidRDefault="0077492C">
      <w:pPr>
        <w:rPr>
          <w:lang w:val="en-US"/>
        </w:rPr>
      </w:pPr>
    </w:p>
    <w:p w14:paraId="4AEB6FCF" w14:textId="77777777" w:rsidR="00985844" w:rsidRPr="00985844" w:rsidRDefault="00985844" w:rsidP="009858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452D38A2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impacto das mudanças climáticas e de eventos meteorológicos extremos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 do fornecimento de energia elétrica na Finlândia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ênfase em:</w:t>
      </w:r>
    </w:p>
    <w:p w14:paraId="72E26FEC" w14:textId="77777777" w:rsidR="00985844" w:rsidRPr="00985844" w:rsidRDefault="00985844" w:rsidP="009858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clássicos de confiabilidade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(especialmente SAIDI);</w:t>
      </w:r>
    </w:p>
    <w:p w14:paraId="73EC9F1A" w14:textId="77777777" w:rsidR="00985844" w:rsidRPr="00985844" w:rsidRDefault="00985844" w:rsidP="009858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histórica de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apagões causados por tempestades severas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A097B6" w14:textId="77777777" w:rsidR="00985844" w:rsidRPr="00985844" w:rsidRDefault="00985844" w:rsidP="009858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regulatórias e de investimento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adotadas pelo país para reforçar a infraestrutura elétrica.</w:t>
      </w:r>
    </w:p>
    <w:p w14:paraId="46E91747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74E25C">
          <v:rect id="_x0000_i1025" style="width:0;height:1.5pt" o:hralign="center" o:hrstd="t" o:hr="t" fillcolor="#a0a0a0" stroked="f"/>
        </w:pict>
      </w:r>
    </w:p>
    <w:p w14:paraId="772EE9CA" w14:textId="77777777" w:rsidR="00985844" w:rsidRPr="00985844" w:rsidRDefault="00985844" w:rsidP="009858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(alto valor empírico)</w:t>
      </w:r>
    </w:p>
    <w:p w14:paraId="5DCBD2E8" w14:textId="77777777" w:rsidR="00985844" w:rsidRPr="00985844" w:rsidRDefault="00985844" w:rsidP="009858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Evidência clara da relação clima → falhas elétricas</w:t>
      </w:r>
    </w:p>
    <w:p w14:paraId="6F66F71A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demonstra, com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que:</w:t>
      </w:r>
    </w:p>
    <w:p w14:paraId="5C22A511" w14:textId="77777777" w:rsidR="00985844" w:rsidRPr="00985844" w:rsidRDefault="00985844" w:rsidP="009858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2009, o sistema finlandês apresentava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SAIDI &lt; 2 h/ano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236A7F" w14:textId="77777777" w:rsidR="00985844" w:rsidRPr="00985844" w:rsidRDefault="00985844" w:rsidP="009858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extremos (2010, 2011, 2013, 2015) causaram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picos abruptos de SAIDI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 e Fig. 2);</w:t>
      </w:r>
    </w:p>
    <w:p w14:paraId="41B96480" w14:textId="77777777" w:rsidR="00985844" w:rsidRPr="00985844" w:rsidRDefault="00985844" w:rsidP="009858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 tempestades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os principais responsáveis pelas interrupções, não neve ou gelo (Fig. 2, p. 2).</w:t>
      </w:r>
    </w:p>
    <w:p w14:paraId="00515E97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relevante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4CA68366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1CDD71">
          <v:rect id="_x0000_i1026" style="width:0;height:1.5pt" o:hralign="center" o:hrstd="t" o:hr="t" fillcolor="#a0a0a0" stroked="f"/>
        </w:pict>
      </w:r>
    </w:p>
    <w:p w14:paraId="2B0BB0E8" w14:textId="77777777" w:rsidR="00985844" w:rsidRPr="00985844" w:rsidRDefault="00985844" w:rsidP="009858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Quantificação real de impactos em linhas aéreas</w:t>
      </w:r>
    </w:p>
    <w:p w14:paraId="7A8E75C4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documentados:</w:t>
      </w:r>
    </w:p>
    <w:p w14:paraId="4648D6F7" w14:textId="77777777" w:rsidR="00985844" w:rsidRPr="00985844" w:rsidRDefault="00985844" w:rsidP="009858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2010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~481.000 clientes interrompidos;</w:t>
      </w:r>
    </w:p>
    <w:p w14:paraId="736B97D2" w14:textId="77777777" w:rsidR="00985844" w:rsidRPr="00985844" w:rsidRDefault="00985844" w:rsidP="009858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Ciclone Dagmar (2011)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~18% dos clientes afetados, com interrupções de até semanas;</w:t>
      </w:r>
    </w:p>
    <w:p w14:paraId="01AC482E" w14:textId="77777777" w:rsidR="00985844" w:rsidRPr="00985844" w:rsidRDefault="00985844" w:rsidP="009858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Tempestade </w:t>
      </w:r>
      <w:proofErr w:type="spellStart"/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Eino</w:t>
      </w:r>
      <w:proofErr w:type="spellEnd"/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(2013)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desligamento de linhas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110 kV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~250.000 clientes afetados;</w:t>
      </w:r>
    </w:p>
    <w:p w14:paraId="4959CDF9" w14:textId="77777777" w:rsidR="00985844" w:rsidRPr="00985844" w:rsidRDefault="00985844" w:rsidP="009858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2015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~170.000 clientes sem energia.</w:t>
      </w:r>
    </w:p>
    <w:p w14:paraId="153FAB52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concreta de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de redes aéreas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distribuição, mas com reflexos também na transmissão.</w:t>
      </w:r>
    </w:p>
    <w:p w14:paraId="469C1572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681D95">
          <v:rect id="_x0000_i1027" style="width:0;height:1.5pt" o:hralign="center" o:hrstd="t" o:hr="t" fillcolor="#a0a0a0" stroked="f"/>
        </w:pict>
      </w:r>
    </w:p>
    <w:p w14:paraId="6CEF9A24" w14:textId="77777777" w:rsidR="00985844" w:rsidRPr="00985844" w:rsidRDefault="00985844" w:rsidP="009858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de indicadores clássicos como proxy de resiliência</w:t>
      </w:r>
    </w:p>
    <w:p w14:paraId="3EF94E37" w14:textId="77777777" w:rsidR="00985844" w:rsidRPr="00985844" w:rsidRDefault="00985844" w:rsidP="009858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usa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SAIDI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principal métrica (Fig. 1 a Fig. 6).</w:t>
      </w:r>
    </w:p>
    <w:p w14:paraId="7D3A669F" w14:textId="77777777" w:rsidR="00985844" w:rsidRPr="00985844" w:rsidRDefault="00985844" w:rsidP="009858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Discute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implícitas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desses indicadores frente a eventos extremos, embora não formalize um índice de resiliência.</w:t>
      </w:r>
    </w:p>
    <w:p w14:paraId="447FEF60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para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mostrar o limite da confiabilidade tradicional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0F1B66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439552">
          <v:rect id="_x0000_i1028" style="width:0;height:1.5pt" o:hralign="center" o:hrstd="t" o:hr="t" fillcolor="#a0a0a0" stroked="f"/>
        </w:pict>
      </w:r>
    </w:p>
    <w:p w14:paraId="0D9B1CFB" w14:textId="77777777" w:rsidR="00985844" w:rsidRPr="00985844" w:rsidRDefault="00985844" w:rsidP="009858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Respostas regulatórias e estruturais</w:t>
      </w:r>
    </w:p>
    <w:p w14:paraId="12B385A7" w14:textId="77777777" w:rsidR="00985844" w:rsidRPr="00985844" w:rsidRDefault="00985844" w:rsidP="009858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limites legais de duração de interrupção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C1B218D" w14:textId="77777777" w:rsidR="00985844" w:rsidRPr="00985844" w:rsidRDefault="00985844" w:rsidP="009858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 h (urbano) e 36 h (rural), a cumprir até 2028;</w:t>
      </w:r>
    </w:p>
    <w:p w14:paraId="07E2D573" w14:textId="77777777" w:rsidR="00985844" w:rsidRPr="00985844" w:rsidRDefault="00985844" w:rsidP="009858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das compensações financeiras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(até 200% da fatura anual);</w:t>
      </w:r>
    </w:p>
    <w:p w14:paraId="24234B3C" w14:textId="77777777" w:rsidR="00985844" w:rsidRPr="00985844" w:rsidRDefault="00985844" w:rsidP="009858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investimento em:</w:t>
      </w:r>
    </w:p>
    <w:p w14:paraId="790A07F2" w14:textId="77777777" w:rsidR="00985844" w:rsidRPr="00985844" w:rsidRDefault="00985844" w:rsidP="009858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enterramento de cabos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(MV e LV),</w:t>
      </w:r>
    </w:p>
    <w:p w14:paraId="10DFD63D" w14:textId="77777777" w:rsidR="00985844" w:rsidRPr="00985844" w:rsidRDefault="00985844" w:rsidP="009858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3000 km de novas linhas de transmissão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62A976E" w14:textId="77777777" w:rsidR="00985844" w:rsidRPr="00985844" w:rsidRDefault="00985844" w:rsidP="009858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30 novas subestações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(investimento ~1,2 mil milhões €).</w:t>
      </w:r>
    </w:p>
    <w:p w14:paraId="5B005CC8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C473D5">
          <v:rect id="_x0000_i1029" style="width:0;height:1.5pt" o:hralign="center" o:hrstd="t" o:hr="t" fillcolor="#a0a0a0" stroked="f"/>
        </w:pict>
      </w:r>
    </w:p>
    <w:p w14:paraId="37F44E62" w14:textId="77777777" w:rsidR="00985844" w:rsidRPr="00985844" w:rsidRDefault="00985844" w:rsidP="009858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</w:t>
      </w:r>
    </w:p>
    <w:p w14:paraId="326FC465" w14:textId="77777777" w:rsidR="00985844" w:rsidRPr="00985844" w:rsidRDefault="00985844" w:rsidP="009858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estatística e histórica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dados reais (2007–2014).</w:t>
      </w:r>
    </w:p>
    <w:p w14:paraId="04CE126A" w14:textId="77777777" w:rsidR="00985844" w:rsidRPr="00985844" w:rsidRDefault="00985844" w:rsidP="009858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descritiva e empírica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modelada.</w:t>
      </w:r>
    </w:p>
    <w:p w14:paraId="70A51710" w14:textId="77777777" w:rsidR="00985844" w:rsidRPr="00985844" w:rsidRDefault="00985844" w:rsidP="009858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simulação, nem equações de falha dependentes do clima.</w:t>
      </w:r>
    </w:p>
    <w:p w14:paraId="0872C79D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9C94C3">
          <v:rect id="_x0000_i1030" style="width:0;height:1.5pt" o:hralign="center" o:hrstd="t" o:hr="t" fillcolor="#a0a0a0" stroked="f"/>
        </w:pict>
      </w:r>
    </w:p>
    <w:p w14:paraId="36607CD2" w14:textId="77777777" w:rsidR="00985844" w:rsidRPr="00985844" w:rsidRDefault="00985844" w:rsidP="009858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EA15344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 da tese: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858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711"/>
      </w:tblGrid>
      <w:tr w:rsidR="00985844" w:rsidRPr="00985844" w14:paraId="13D76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41C69" w14:textId="77777777" w:rsidR="00985844" w:rsidRPr="00985844" w:rsidRDefault="00985844" w:rsidP="0098584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EC2D7A2" w14:textId="77777777" w:rsidR="00985844" w:rsidRPr="00985844" w:rsidRDefault="00985844" w:rsidP="0098584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85844" w:rsidRPr="00985844" w14:paraId="40BA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7236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3654FFE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</w:t>
            </w:r>
          </w:p>
        </w:tc>
      </w:tr>
      <w:tr w:rsidR="00985844" w:rsidRPr="00985844" w14:paraId="38DF5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7377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falhas</w:t>
            </w:r>
          </w:p>
        </w:tc>
        <w:tc>
          <w:tcPr>
            <w:tcW w:w="0" w:type="auto"/>
            <w:vAlign w:val="center"/>
            <w:hideMark/>
          </w:tcPr>
          <w:p w14:paraId="5B6E7DDC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Quantificada</w:t>
            </w:r>
          </w:p>
        </w:tc>
      </w:tr>
      <w:tr w:rsidR="00985844" w:rsidRPr="00985844" w14:paraId="639B6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8FA2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aéreas</w:t>
            </w:r>
          </w:p>
        </w:tc>
        <w:tc>
          <w:tcPr>
            <w:tcW w:w="0" w:type="auto"/>
            <w:vAlign w:val="center"/>
            <w:hideMark/>
          </w:tcPr>
          <w:p w14:paraId="6B6A2F09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985844" w:rsidRPr="00985844" w14:paraId="4814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AA03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Transmissão</w:t>
            </w:r>
          </w:p>
        </w:tc>
        <w:tc>
          <w:tcPr>
            <w:tcW w:w="0" w:type="auto"/>
            <w:vAlign w:val="center"/>
            <w:hideMark/>
          </w:tcPr>
          <w:p w14:paraId="09561FF1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 (110 kV citado)</w:t>
            </w:r>
          </w:p>
        </w:tc>
      </w:tr>
      <w:tr w:rsidR="00985844" w:rsidRPr="00985844" w14:paraId="64F7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E0EC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de resiliência</w:t>
            </w:r>
          </w:p>
        </w:tc>
        <w:tc>
          <w:tcPr>
            <w:tcW w:w="0" w:type="auto"/>
            <w:vAlign w:val="center"/>
            <w:hideMark/>
          </w:tcPr>
          <w:p w14:paraId="235A9447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985844" w:rsidRPr="00985844" w14:paraId="5081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E319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probabilística</w:t>
            </w:r>
          </w:p>
        </w:tc>
        <w:tc>
          <w:tcPr>
            <w:tcW w:w="0" w:type="auto"/>
            <w:vAlign w:val="center"/>
            <w:hideMark/>
          </w:tcPr>
          <w:p w14:paraId="0E68408E" w14:textId="77777777" w:rsidR="00985844" w:rsidRPr="00985844" w:rsidRDefault="00985844" w:rsidP="009858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58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858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</w:tbl>
    <w:p w14:paraId="06E0BC37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 relevância empírica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relevância metodológica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A13ECD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03C346">
          <v:rect id="_x0000_i1031" style="width:0;height:1.5pt" o:hralign="center" o:hrstd="t" o:hr="t" fillcolor="#a0a0a0" stroked="f"/>
        </w:pict>
      </w:r>
    </w:p>
    <w:p w14:paraId="22F340DA" w14:textId="77777777" w:rsidR="00985844" w:rsidRPr="00985844" w:rsidRDefault="00985844" w:rsidP="009858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(importantes para a tese)</w:t>
      </w:r>
    </w:p>
    <w:p w14:paraId="690BA0C4" w14:textId="77777777" w:rsidR="00985844" w:rsidRPr="00985844" w:rsidRDefault="00985844" w:rsidP="009858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Métrica limitada a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SAIDI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(confiabilidade, não resiliência).</w:t>
      </w:r>
    </w:p>
    <w:p w14:paraId="7E237A88" w14:textId="77777777" w:rsidR="00985844" w:rsidRPr="00985844" w:rsidRDefault="00985844" w:rsidP="009858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 recuperação formal.</w:t>
      </w:r>
    </w:p>
    <w:p w14:paraId="3220B2DC" w14:textId="77777777" w:rsidR="00985844" w:rsidRPr="00985844" w:rsidRDefault="00985844" w:rsidP="009858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separação explícita entre:</w:t>
      </w:r>
    </w:p>
    <w:p w14:paraId="2B7A7AB7" w14:textId="77777777" w:rsidR="00985844" w:rsidRPr="00985844" w:rsidRDefault="00985844" w:rsidP="0098584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14C27B53" w14:textId="77777777" w:rsidR="00985844" w:rsidRPr="00985844" w:rsidRDefault="00985844" w:rsidP="0098584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0401E584" w14:textId="77777777" w:rsidR="00985844" w:rsidRPr="00985844" w:rsidRDefault="00985844" w:rsidP="0098584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de recuperação.</w:t>
      </w:r>
    </w:p>
    <w:p w14:paraId="57CE9B92" w14:textId="77777777" w:rsidR="00985844" w:rsidRPr="00985844" w:rsidRDefault="00985844" w:rsidP="009858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foco em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embora com reflexos sistémicos.</w:t>
      </w:r>
    </w:p>
    <w:p w14:paraId="2C3306BC" w14:textId="77777777" w:rsidR="00985844" w:rsidRPr="00985844" w:rsidRDefault="00985844" w:rsidP="009858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672460">
          <v:rect id="_x0000_i1032" style="width:0;height:1.5pt" o:hralign="center" o:hrstd="t" o:hr="t" fillcolor="#a0a0a0" stroked="f"/>
        </w:pict>
      </w:r>
    </w:p>
    <w:p w14:paraId="3C9613D8" w14:textId="77777777" w:rsidR="00985844" w:rsidRPr="00985844" w:rsidRDefault="00985844" w:rsidP="009858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Valor estratégico para a sua tese</w:t>
      </w:r>
    </w:p>
    <w:p w14:paraId="64840C20" w14:textId="77777777" w:rsidR="00985844" w:rsidRPr="00985844" w:rsidRDefault="00985844" w:rsidP="009858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forte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8D20C7B" w14:textId="77777777" w:rsidR="00985844" w:rsidRPr="00985844" w:rsidRDefault="00985844" w:rsidP="009858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do problema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3590E4" w14:textId="77777777" w:rsidR="00985844" w:rsidRPr="00985844" w:rsidRDefault="00985844" w:rsidP="009858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climática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045C3C" w14:textId="77777777" w:rsidR="00985844" w:rsidRPr="00985844" w:rsidRDefault="00985844" w:rsidP="009858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dados reais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eventos extremos invalidam métricas clássicas;</w:t>
      </w:r>
    </w:p>
    <w:p w14:paraId="315348BB" w14:textId="77777777" w:rsidR="00985844" w:rsidRPr="00985844" w:rsidRDefault="00985844" w:rsidP="009858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um </w:t>
      </w:r>
      <w:r w:rsidRPr="009858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específico para linhas de transmissão</w:t>
      </w:r>
      <w:r w:rsidRPr="009858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F6B321" w14:textId="77777777" w:rsidR="0077492C" w:rsidRPr="00985844" w:rsidRDefault="0077492C"/>
    <w:sectPr w:rsidR="0077492C" w:rsidRPr="0098584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624C"/>
    <w:multiLevelType w:val="multilevel"/>
    <w:tmpl w:val="917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1D46"/>
    <w:multiLevelType w:val="multilevel"/>
    <w:tmpl w:val="600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32967"/>
    <w:multiLevelType w:val="multilevel"/>
    <w:tmpl w:val="400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223A0"/>
    <w:multiLevelType w:val="multilevel"/>
    <w:tmpl w:val="CDA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62804"/>
    <w:multiLevelType w:val="multilevel"/>
    <w:tmpl w:val="C16A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90F9E"/>
    <w:multiLevelType w:val="multilevel"/>
    <w:tmpl w:val="89C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00319"/>
    <w:multiLevelType w:val="multilevel"/>
    <w:tmpl w:val="0BC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5241C"/>
    <w:multiLevelType w:val="multilevel"/>
    <w:tmpl w:val="123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428533">
    <w:abstractNumId w:val="6"/>
  </w:num>
  <w:num w:numId="2" w16cid:durableId="1150294846">
    <w:abstractNumId w:val="0"/>
  </w:num>
  <w:num w:numId="3" w16cid:durableId="1969554884">
    <w:abstractNumId w:val="4"/>
  </w:num>
  <w:num w:numId="4" w16cid:durableId="537163058">
    <w:abstractNumId w:val="5"/>
  </w:num>
  <w:num w:numId="5" w16cid:durableId="2039432988">
    <w:abstractNumId w:val="3"/>
  </w:num>
  <w:num w:numId="6" w16cid:durableId="1335182851">
    <w:abstractNumId w:val="2"/>
  </w:num>
  <w:num w:numId="7" w16cid:durableId="1440875662">
    <w:abstractNumId w:val="1"/>
  </w:num>
  <w:num w:numId="8" w16cid:durableId="1338994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2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7492C"/>
    <w:rsid w:val="00785F46"/>
    <w:rsid w:val="007E0455"/>
    <w:rsid w:val="007E69F0"/>
    <w:rsid w:val="00804B85"/>
    <w:rsid w:val="008226B2"/>
    <w:rsid w:val="00863FDB"/>
    <w:rsid w:val="008C0D5E"/>
    <w:rsid w:val="00985844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B23C"/>
  <w15:chartTrackingRefBased/>
  <w15:docId w15:val="{67D9092D-8DB3-448F-B6A4-0DC21421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2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2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2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2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2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7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2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749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8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85844"/>
    <w:rPr>
      <w:b/>
      <w:bCs/>
    </w:rPr>
  </w:style>
  <w:style w:type="character" w:styleId="Emphasis">
    <w:name w:val="Emphasis"/>
    <w:basedOn w:val="DefaultParagraphFont"/>
    <w:uiPriority w:val="20"/>
    <w:qFormat/>
    <w:rsid w:val="009858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512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2026-01-01T20:18:00Z</dcterms:created>
  <dcterms:modified xsi:type="dcterms:W3CDTF">2026-01-01T20:26:00Z</dcterms:modified>
</cp:coreProperties>
</file>