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07E1" w14:textId="77777777" w:rsidR="00EF5081" w:rsidRDefault="00EF5081" w:rsidP="00EF5081">
      <w:proofErr w:type="spellStart"/>
      <w:r>
        <w:t>Título</w:t>
      </w:r>
      <w:proofErr w:type="spellEnd"/>
      <w:r>
        <w:t xml:space="preserve"> e </w:t>
      </w:r>
      <w:proofErr w:type="spellStart"/>
      <w:r>
        <w:t>Autores</w:t>
      </w:r>
      <w:proofErr w:type="spellEnd"/>
    </w:p>
    <w:p w14:paraId="3DD1FE15" w14:textId="77777777" w:rsidR="00EF5081" w:rsidRDefault="00EF5081" w:rsidP="00EF5081">
      <w:proofErr w:type="spellStart"/>
      <w:r>
        <w:t>Título</w:t>
      </w:r>
      <w:proofErr w:type="spellEnd"/>
      <w:r>
        <w:t>: Power Systems Resilience Assessment: Hardening and Smart Operational Enhancement Strategies</w:t>
      </w:r>
    </w:p>
    <w:p w14:paraId="391A2298" w14:textId="77777777" w:rsidR="00EF5081" w:rsidRDefault="00EF5081" w:rsidP="00EF5081"/>
    <w:p w14:paraId="3C0D4013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Autores: </w:t>
      </w:r>
      <w:proofErr w:type="spellStart"/>
      <w:r w:rsidRPr="00EF5081">
        <w:rPr>
          <w:lang w:val="pt-BR"/>
        </w:rPr>
        <w:t>Mathaios</w:t>
      </w:r>
      <w:proofErr w:type="spellEnd"/>
      <w:r w:rsidRPr="00EF5081">
        <w:rPr>
          <w:lang w:val="pt-BR"/>
        </w:rPr>
        <w:t xml:space="preserve"> </w:t>
      </w:r>
      <w:proofErr w:type="spellStart"/>
      <w:r w:rsidRPr="00EF5081">
        <w:rPr>
          <w:lang w:val="pt-BR"/>
        </w:rPr>
        <w:t>Panteli</w:t>
      </w:r>
      <w:proofErr w:type="spellEnd"/>
      <w:r w:rsidRPr="00EF5081">
        <w:rPr>
          <w:lang w:val="pt-BR"/>
        </w:rPr>
        <w:t xml:space="preserve">, Dimitris N. </w:t>
      </w:r>
      <w:proofErr w:type="spellStart"/>
      <w:r w:rsidRPr="00EF5081">
        <w:rPr>
          <w:lang w:val="pt-BR"/>
        </w:rPr>
        <w:t>Trakas</w:t>
      </w:r>
      <w:proofErr w:type="spellEnd"/>
      <w:r w:rsidRPr="00EF5081">
        <w:rPr>
          <w:lang w:val="pt-BR"/>
        </w:rPr>
        <w:t xml:space="preserve">, Pierluigi </w:t>
      </w:r>
      <w:proofErr w:type="spellStart"/>
      <w:r w:rsidRPr="00EF5081">
        <w:rPr>
          <w:lang w:val="pt-BR"/>
        </w:rPr>
        <w:t>Mancarella</w:t>
      </w:r>
      <w:proofErr w:type="spellEnd"/>
      <w:r w:rsidRPr="00EF5081">
        <w:rPr>
          <w:lang w:val="pt-BR"/>
        </w:rPr>
        <w:t xml:space="preserve">, </w:t>
      </w:r>
      <w:proofErr w:type="spellStart"/>
      <w:r w:rsidRPr="00EF5081">
        <w:rPr>
          <w:lang w:val="pt-BR"/>
        </w:rPr>
        <w:t>Nikos</w:t>
      </w:r>
      <w:proofErr w:type="spellEnd"/>
      <w:r w:rsidRPr="00EF5081">
        <w:rPr>
          <w:lang w:val="pt-BR"/>
        </w:rPr>
        <w:t xml:space="preserve"> D. </w:t>
      </w:r>
      <w:proofErr w:type="spellStart"/>
      <w:r w:rsidRPr="00EF5081">
        <w:rPr>
          <w:lang w:val="pt-BR"/>
        </w:rPr>
        <w:t>Hatziargyriou</w:t>
      </w:r>
      <w:proofErr w:type="spellEnd"/>
    </w:p>
    <w:p w14:paraId="635FF30A" w14:textId="77777777" w:rsidR="00EF5081" w:rsidRDefault="00EF5081" w:rsidP="00EF5081">
      <w:proofErr w:type="spellStart"/>
      <w:r>
        <w:t>Afiliações</w:t>
      </w:r>
      <w:proofErr w:type="spellEnd"/>
      <w:r>
        <w:t>: University of Manchester, National Technical University of Athens, University of Melbourne</w:t>
      </w:r>
    </w:p>
    <w:p w14:paraId="402638E1" w14:textId="77777777" w:rsidR="00EF5081" w:rsidRDefault="00EF5081" w:rsidP="00EF5081"/>
    <w:p w14:paraId="72FBB42D" w14:textId="472227AE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Resumo do Abstract</w:t>
      </w:r>
    </w:p>
    <w:p w14:paraId="3D3C119E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>O artigo propõe uma abordagem abrangente e quantitativa para avaliação da resiliência de sistemas elétricos sujeitos a eventos extremos. Apresenta métricas temporais (</w:t>
      </w:r>
      <w:r>
        <w:t>Φ</w:t>
      </w:r>
      <w:r w:rsidRPr="00EF5081">
        <w:rPr>
          <w:lang w:val="pt-BR"/>
        </w:rPr>
        <w:t xml:space="preserve">, </w:t>
      </w:r>
      <w:r>
        <w:t>Λ</w:t>
      </w:r>
      <w:r w:rsidRPr="00EF5081">
        <w:rPr>
          <w:lang w:val="pt-BR"/>
        </w:rPr>
        <w:t xml:space="preserve">, </w:t>
      </w:r>
      <w:r>
        <w:t>Ε</w:t>
      </w:r>
      <w:r w:rsidRPr="00EF5081">
        <w:rPr>
          <w:lang w:val="pt-BR"/>
        </w:rPr>
        <w:t xml:space="preserve">, </w:t>
      </w:r>
      <w:r>
        <w:t>Π</w:t>
      </w:r>
      <w:r w:rsidRPr="00EF5081">
        <w:rPr>
          <w:lang w:val="pt-BR"/>
        </w:rPr>
        <w:t>) aplicadas ao conceito do trapézio da resiliência, e compara estratégias de reforço (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>) e resposta operacional inteligente. É conduzido um estudo de caso em uma rede de 29 barras do Reino Unido, utilizando simulações baseadas em Monte Carlo para avaliar a performance diante de tempestades severas.</w:t>
      </w:r>
    </w:p>
    <w:p w14:paraId="69C2D378" w14:textId="77777777" w:rsidR="00EF5081" w:rsidRPr="00EF5081" w:rsidRDefault="00EF5081" w:rsidP="00EF5081">
      <w:pPr>
        <w:rPr>
          <w:lang w:val="pt-BR"/>
        </w:rPr>
      </w:pPr>
    </w:p>
    <w:p w14:paraId="447CAA32" w14:textId="181CD39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Introdução</w:t>
      </w:r>
    </w:p>
    <w:p w14:paraId="7D9A2B29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>A resiliência é tratada como uma extensão da confiabilidade e vai além da simples redundância. Segundo os autores, a resiliência abrange a capacidade do sistema em absorver choques, adaptar-se e recuperar-se de eventos extremos, com foco especial em ameaças de baixa frequência e alto impacto como tempestades, incêndios e ataques cibernéticos. A estrutura conceitual apresentada é baseada em um modelo temporal conhecido como trapézio da resiliência (</w:t>
      </w:r>
      <w:proofErr w:type="spellStart"/>
      <w:r w:rsidRPr="00EF5081">
        <w:rPr>
          <w:lang w:val="pt-BR"/>
        </w:rPr>
        <w:t>resilience</w:t>
      </w:r>
      <w:proofErr w:type="spellEnd"/>
      <w:r w:rsidRPr="00EF5081">
        <w:rPr>
          <w:lang w:val="pt-BR"/>
        </w:rPr>
        <w:t xml:space="preserve"> </w:t>
      </w:r>
      <w:proofErr w:type="spellStart"/>
      <w:r w:rsidRPr="00EF5081">
        <w:rPr>
          <w:lang w:val="pt-BR"/>
        </w:rPr>
        <w:t>trapezoid</w:t>
      </w:r>
      <w:proofErr w:type="spellEnd"/>
      <w:r w:rsidRPr="00EF5081">
        <w:rPr>
          <w:lang w:val="pt-BR"/>
        </w:rPr>
        <w:t>).</w:t>
      </w:r>
    </w:p>
    <w:p w14:paraId="4738F6D7" w14:textId="77777777" w:rsidR="00EF5081" w:rsidRPr="00EF5081" w:rsidRDefault="00EF5081" w:rsidP="00EF5081">
      <w:pPr>
        <w:rPr>
          <w:lang w:val="pt-BR"/>
        </w:rPr>
      </w:pPr>
    </w:p>
    <w:p w14:paraId="1E76AC6C" w14:textId="08FD559B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Metodologia</w:t>
      </w:r>
    </w:p>
    <w:p w14:paraId="49C16DB2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A metodologia se ancora no trapézio da resiliência, subdividido em três fases: (i) resistência </w:t>
      </w:r>
      <w:proofErr w:type="spellStart"/>
      <w:r w:rsidRPr="00EF5081">
        <w:rPr>
          <w:lang w:val="pt-BR"/>
        </w:rPr>
        <w:t>pré</w:t>
      </w:r>
      <w:proofErr w:type="spellEnd"/>
      <w:r w:rsidRPr="00EF5081">
        <w:rPr>
          <w:lang w:val="pt-BR"/>
        </w:rPr>
        <w:t>-evento, (</w:t>
      </w:r>
      <w:proofErr w:type="spellStart"/>
      <w:r w:rsidRPr="00EF5081">
        <w:rPr>
          <w:lang w:val="pt-BR"/>
        </w:rPr>
        <w:t>ii</w:t>
      </w:r>
      <w:proofErr w:type="spellEnd"/>
      <w:r w:rsidRPr="00EF5081">
        <w:rPr>
          <w:lang w:val="pt-BR"/>
        </w:rPr>
        <w:t>) absorção e transição durante o evento, e (</w:t>
      </w:r>
      <w:proofErr w:type="spellStart"/>
      <w:r w:rsidRPr="00EF5081">
        <w:rPr>
          <w:lang w:val="pt-BR"/>
        </w:rPr>
        <w:t>iii</w:t>
      </w:r>
      <w:proofErr w:type="spellEnd"/>
      <w:r w:rsidRPr="00EF5081">
        <w:rPr>
          <w:lang w:val="pt-BR"/>
        </w:rPr>
        <w:t xml:space="preserve">) processo de restauração. As métricas </w:t>
      </w:r>
      <w:r>
        <w:t>Φ</w:t>
      </w:r>
      <w:r w:rsidRPr="00EF5081">
        <w:rPr>
          <w:lang w:val="pt-BR"/>
        </w:rPr>
        <w:t xml:space="preserve">, </w:t>
      </w:r>
      <w:r>
        <w:t>Λ</w:t>
      </w:r>
      <w:r w:rsidRPr="00EF5081">
        <w:rPr>
          <w:lang w:val="pt-BR"/>
        </w:rPr>
        <w:t xml:space="preserve">, </w:t>
      </w:r>
      <w:r>
        <w:t>Ε</w:t>
      </w:r>
      <w:r w:rsidRPr="00EF5081">
        <w:rPr>
          <w:lang w:val="pt-BR"/>
        </w:rPr>
        <w:t xml:space="preserve"> e </w:t>
      </w:r>
      <w:r>
        <w:t>Π</w:t>
      </w:r>
      <w:r w:rsidRPr="00EF5081">
        <w:rPr>
          <w:lang w:val="pt-BR"/>
        </w:rPr>
        <w:t xml:space="preserve"> são definidas como:</w:t>
      </w:r>
    </w:p>
    <w:p w14:paraId="1C9A23ED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</w:t>
      </w:r>
      <w:r>
        <w:t>Φ</w:t>
      </w:r>
      <w:r w:rsidRPr="00EF5081">
        <w:rPr>
          <w:lang w:val="pt-BR"/>
        </w:rPr>
        <w:t xml:space="preserve"> (</w:t>
      </w:r>
      <w:proofErr w:type="spellStart"/>
      <w:r w:rsidRPr="00EF5081">
        <w:rPr>
          <w:lang w:val="pt-BR"/>
        </w:rPr>
        <w:t>phi</w:t>
      </w:r>
      <w:proofErr w:type="spellEnd"/>
      <w:r w:rsidRPr="00EF5081">
        <w:rPr>
          <w:lang w:val="pt-BR"/>
        </w:rPr>
        <w:t>): velocidade da degradação de desempenho após o evento;</w:t>
      </w:r>
    </w:p>
    <w:p w14:paraId="606101E7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</w:t>
      </w:r>
      <w:r>
        <w:t>Λ</w:t>
      </w:r>
      <w:r w:rsidRPr="00EF5081">
        <w:rPr>
          <w:lang w:val="pt-BR"/>
        </w:rPr>
        <w:t xml:space="preserve"> (lambda): profundidade da perda de desempenho;</w:t>
      </w:r>
    </w:p>
    <w:p w14:paraId="0492EDB6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</w:t>
      </w:r>
      <w:r>
        <w:t>Ε</w:t>
      </w:r>
      <w:r w:rsidRPr="00EF5081">
        <w:rPr>
          <w:lang w:val="pt-BR"/>
        </w:rPr>
        <w:t xml:space="preserve"> (</w:t>
      </w:r>
      <w:proofErr w:type="spellStart"/>
      <w:r w:rsidRPr="00EF5081">
        <w:rPr>
          <w:lang w:val="pt-BR"/>
        </w:rPr>
        <w:t>epsilon</w:t>
      </w:r>
      <w:proofErr w:type="spellEnd"/>
      <w:r w:rsidRPr="00EF5081">
        <w:rPr>
          <w:lang w:val="pt-BR"/>
        </w:rPr>
        <w:t>): duração da fase degradada;</w:t>
      </w:r>
    </w:p>
    <w:p w14:paraId="13B61D16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</w:t>
      </w:r>
      <w:r>
        <w:t>Π</w:t>
      </w:r>
      <w:r w:rsidRPr="00EF5081">
        <w:rPr>
          <w:lang w:val="pt-BR"/>
        </w:rPr>
        <w:t xml:space="preserve"> (pi): velocidade de recuperação até a normalidade.</w:t>
      </w:r>
    </w:p>
    <w:p w14:paraId="4C8690C9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>Essas métricas permitem quantificar o impacto e a recuperação, sendo integradas em um índice composto de resiliência.</w:t>
      </w:r>
    </w:p>
    <w:p w14:paraId="2EFA4240" w14:textId="77777777" w:rsidR="00EF5081" w:rsidRPr="00EF5081" w:rsidRDefault="00EF5081" w:rsidP="00EF5081">
      <w:pPr>
        <w:rPr>
          <w:lang w:val="pt-BR"/>
        </w:rPr>
      </w:pPr>
    </w:p>
    <w:p w14:paraId="616D46E9" w14:textId="7C1FE2B9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Resultados</w:t>
      </w:r>
    </w:p>
    <w:p w14:paraId="384634F5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A rede de 29 barras do Reino Unido é usada como estudo de caso. Uma tempestade de 24h com ventos de até 50 m/s é simulada por Monte Carlo, gerando diferentes cenários de falhas em linhas e subestações. Três estratégias são comparadas:</w:t>
      </w:r>
    </w:p>
    <w:p w14:paraId="786A6C73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(i) Caso base (sem intervenção);</w:t>
      </w:r>
    </w:p>
    <w:p w14:paraId="25CF62A1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(</w:t>
      </w:r>
      <w:proofErr w:type="spellStart"/>
      <w:r w:rsidRPr="00EF5081">
        <w:rPr>
          <w:lang w:val="pt-BR"/>
        </w:rPr>
        <w:t>ii</w:t>
      </w:r>
      <w:proofErr w:type="spellEnd"/>
      <w:r w:rsidRPr="00EF5081">
        <w:rPr>
          <w:lang w:val="pt-BR"/>
        </w:rPr>
        <w:t xml:space="preserve">) 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 xml:space="preserve"> estrutural: aumento de 20% da capacidade das linhas;</w:t>
      </w:r>
    </w:p>
    <w:p w14:paraId="20076EDE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lastRenderedPageBreak/>
        <w:t>(</w:t>
      </w:r>
      <w:proofErr w:type="spellStart"/>
      <w:r w:rsidRPr="00EF5081">
        <w:rPr>
          <w:lang w:val="pt-BR"/>
        </w:rPr>
        <w:t>iii</w:t>
      </w:r>
      <w:proofErr w:type="spellEnd"/>
      <w:r w:rsidRPr="00EF5081">
        <w:rPr>
          <w:lang w:val="pt-BR"/>
        </w:rPr>
        <w:t>) Resposta rápida: redução de 20% no tempo médio de restauração.</w:t>
      </w:r>
    </w:p>
    <w:p w14:paraId="5834ECD9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Os indicadores </w:t>
      </w:r>
      <w:r>
        <w:t>ΦΛΕΠ</w:t>
      </w:r>
      <w:r w:rsidRPr="00EF5081">
        <w:rPr>
          <w:lang w:val="pt-BR"/>
        </w:rPr>
        <w:t xml:space="preserve"> mostram que o 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 xml:space="preserve"> reduz drasticamente a profundidade da falha (</w:t>
      </w:r>
      <w:r>
        <w:t>Λ</w:t>
      </w:r>
      <w:r w:rsidRPr="00EF5081">
        <w:rPr>
          <w:lang w:val="pt-BR"/>
        </w:rPr>
        <w:t>) e acelera a recuperação (</w:t>
      </w:r>
      <w:r>
        <w:t>Π</w:t>
      </w:r>
      <w:r w:rsidRPr="00EF5081">
        <w:rPr>
          <w:lang w:val="pt-BR"/>
        </w:rPr>
        <w:t>).</w:t>
      </w:r>
    </w:p>
    <w:p w14:paraId="28A2B522" w14:textId="77777777" w:rsidR="00EF5081" w:rsidRPr="00EF5081" w:rsidRDefault="00EF5081" w:rsidP="00EF5081">
      <w:pPr>
        <w:rPr>
          <w:lang w:val="pt-BR"/>
        </w:rPr>
      </w:pPr>
    </w:p>
    <w:p w14:paraId="016F3580" w14:textId="03E2AF4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Discussão</w:t>
      </w:r>
    </w:p>
    <w:p w14:paraId="22641BDC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>Um dos principais destaques do artigo é o uso do índice RAW (</w:t>
      </w:r>
      <w:proofErr w:type="spellStart"/>
      <w:r w:rsidRPr="00EF5081">
        <w:rPr>
          <w:lang w:val="pt-BR"/>
        </w:rPr>
        <w:t>Resilience</w:t>
      </w:r>
      <w:proofErr w:type="spellEnd"/>
      <w:r w:rsidRPr="00EF5081">
        <w:rPr>
          <w:lang w:val="pt-BR"/>
        </w:rPr>
        <w:t xml:space="preserve"> </w:t>
      </w:r>
      <w:proofErr w:type="spellStart"/>
      <w:r w:rsidRPr="00EF5081">
        <w:rPr>
          <w:lang w:val="pt-BR"/>
        </w:rPr>
        <w:t>Achievement</w:t>
      </w:r>
      <w:proofErr w:type="spellEnd"/>
      <w:r w:rsidRPr="00EF5081">
        <w:rPr>
          <w:lang w:val="pt-BR"/>
        </w:rPr>
        <w:t xml:space="preserve"> Worth), que quantifica o ganho de resiliência obtido por reforçar cada corredor de transmissão. Isso permite priorizar investimentos em 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 xml:space="preserve"> com base em custo-benefício. Além disso, o artigo avalia estratégias operacionais como </w:t>
      </w:r>
      <w:proofErr w:type="spellStart"/>
      <w:r w:rsidRPr="00EF5081">
        <w:rPr>
          <w:lang w:val="pt-BR"/>
        </w:rPr>
        <w:t>microgrids</w:t>
      </w:r>
      <w:proofErr w:type="spellEnd"/>
      <w:r w:rsidRPr="00EF5081">
        <w:rPr>
          <w:lang w:val="pt-BR"/>
        </w:rPr>
        <w:t xml:space="preserve">, </w:t>
      </w:r>
      <w:proofErr w:type="spellStart"/>
      <w:r w:rsidRPr="00EF5081">
        <w:rPr>
          <w:lang w:val="pt-BR"/>
        </w:rPr>
        <w:t>islanding</w:t>
      </w:r>
      <w:proofErr w:type="spellEnd"/>
      <w:r w:rsidRPr="00EF5081">
        <w:rPr>
          <w:lang w:val="pt-BR"/>
        </w:rPr>
        <w:t xml:space="preserve"> adaptativo e controle local de carga. O índice SRI (System </w:t>
      </w:r>
      <w:proofErr w:type="spellStart"/>
      <w:r w:rsidRPr="00EF5081">
        <w:rPr>
          <w:lang w:val="pt-BR"/>
        </w:rPr>
        <w:t>Resilience</w:t>
      </w:r>
      <w:proofErr w:type="spellEnd"/>
      <w:r w:rsidRPr="00EF5081">
        <w:rPr>
          <w:lang w:val="pt-BR"/>
        </w:rPr>
        <w:t xml:space="preserve"> Index) adaptativo é sugerido como métrica operacional ajustável com base na criticidade de carga.</w:t>
      </w:r>
    </w:p>
    <w:p w14:paraId="2D0E6EAA" w14:textId="77777777" w:rsidR="00EF5081" w:rsidRPr="00EF5081" w:rsidRDefault="00EF5081" w:rsidP="00EF5081">
      <w:pPr>
        <w:rPr>
          <w:lang w:val="pt-BR"/>
        </w:rPr>
      </w:pPr>
    </w:p>
    <w:p w14:paraId="758D8EC7" w14:textId="4B595DD2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Conclusão Crítica</w:t>
      </w:r>
    </w:p>
    <w:p w14:paraId="52AB550D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O artigo é referência na definição quantitativa de resiliência elétrica. A combinação entre 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 xml:space="preserve"> físico e ações operacionais inteligentes mostra que resiliência não é uma única ação, mas sim uma estratégia multidimensional. A estrutura </w:t>
      </w:r>
      <w:r>
        <w:t>ΦΛΕΠ</w:t>
      </w:r>
      <w:r w:rsidRPr="00EF5081">
        <w:rPr>
          <w:lang w:val="pt-BR"/>
        </w:rPr>
        <w:t xml:space="preserve"> aplicada ao trapézio da resiliência é replicável e pode ser usada em sistemas como o SIN brasileiro. Fica como ponto para futuras investigações a integração dessas métricas com dados climáticos reais e impacto econômico por tempo de indisponibilidade.</w:t>
      </w:r>
    </w:p>
    <w:p w14:paraId="3EF56665" w14:textId="77777777" w:rsidR="00EF5081" w:rsidRPr="00EF5081" w:rsidRDefault="00EF5081" w:rsidP="00EF5081">
      <w:pPr>
        <w:rPr>
          <w:lang w:val="pt-BR"/>
        </w:rPr>
      </w:pPr>
    </w:p>
    <w:p w14:paraId="11EAB369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Resumo dos Achados Principais</w:t>
      </w:r>
    </w:p>
    <w:p w14:paraId="73F174E5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- Introdução das métricas </w:t>
      </w:r>
      <w:r>
        <w:t>ΦΛΕΠ</w:t>
      </w:r>
      <w:r w:rsidRPr="00EF5081">
        <w:rPr>
          <w:lang w:val="pt-BR"/>
        </w:rPr>
        <w:t xml:space="preserve"> para quantificar resiliência elétrica;</w:t>
      </w:r>
    </w:p>
    <w:p w14:paraId="111E6669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- Aplicação prática em rede real com simulação de eventos extremos;</w:t>
      </w:r>
    </w:p>
    <w:p w14:paraId="564B8F4D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- Estratégia de </w:t>
      </w:r>
      <w:proofErr w:type="spellStart"/>
      <w:r w:rsidRPr="00EF5081">
        <w:rPr>
          <w:lang w:val="pt-BR"/>
        </w:rPr>
        <w:t>hardening</w:t>
      </w:r>
      <w:proofErr w:type="spellEnd"/>
      <w:r w:rsidRPr="00EF5081">
        <w:rPr>
          <w:lang w:val="pt-BR"/>
        </w:rPr>
        <w:t xml:space="preserve"> reduz perdas em até 40% em relação ao caso base;</w:t>
      </w:r>
    </w:p>
    <w:p w14:paraId="2BC56FEA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- Uso do índice RAW para otimizar investimento em reforço;</w:t>
      </w:r>
    </w:p>
    <w:p w14:paraId="50632FE9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- Proposta de </w:t>
      </w:r>
      <w:proofErr w:type="spellStart"/>
      <w:r w:rsidRPr="00EF5081">
        <w:rPr>
          <w:lang w:val="pt-BR"/>
        </w:rPr>
        <w:t>islanding</w:t>
      </w:r>
      <w:proofErr w:type="spellEnd"/>
      <w:r w:rsidRPr="00EF5081">
        <w:rPr>
          <w:lang w:val="pt-BR"/>
        </w:rPr>
        <w:t xml:space="preserve"> defensivo controlado por SRI adaptativo.</w:t>
      </w:r>
    </w:p>
    <w:p w14:paraId="52AE7E0F" w14:textId="77777777" w:rsidR="00EF5081" w:rsidRPr="00EF5081" w:rsidRDefault="00EF5081" w:rsidP="00EF5081">
      <w:pPr>
        <w:rPr>
          <w:lang w:val="pt-BR"/>
        </w:rPr>
      </w:pPr>
    </w:p>
    <w:p w14:paraId="0831D790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Descrição Técnica de Figuras, Gráficos e Tabelas</w:t>
      </w:r>
    </w:p>
    <w:p w14:paraId="7B276196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• Fig. 1–2: Diagramas conceituais do trapézio e triângulo da resiliência;</w:t>
      </w:r>
    </w:p>
    <w:p w14:paraId="30D7B320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• Fig. 4: Curvas de fragilidade ao vento para linhas de transmissão;</w:t>
      </w:r>
    </w:p>
    <w:p w14:paraId="5DFFA160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Fig. 5–6: Rede de 29 barras e valores temporais </w:t>
      </w:r>
      <w:r>
        <w:t>ΦΛΕΠ</w:t>
      </w:r>
      <w:r w:rsidRPr="00EF5081">
        <w:rPr>
          <w:lang w:val="pt-BR"/>
        </w:rPr>
        <w:t xml:space="preserve"> para diferentes cenários;</w:t>
      </w:r>
    </w:p>
    <w:p w14:paraId="32DEB60B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>• Fig. 9: RAW (</w:t>
      </w:r>
      <w:proofErr w:type="spellStart"/>
      <w:r w:rsidRPr="00EF5081">
        <w:rPr>
          <w:lang w:val="pt-BR"/>
        </w:rPr>
        <w:t>Resilience</w:t>
      </w:r>
      <w:proofErr w:type="spellEnd"/>
      <w:r w:rsidRPr="00EF5081">
        <w:rPr>
          <w:lang w:val="pt-BR"/>
        </w:rPr>
        <w:t xml:space="preserve"> </w:t>
      </w:r>
      <w:proofErr w:type="spellStart"/>
      <w:r w:rsidRPr="00EF5081">
        <w:rPr>
          <w:lang w:val="pt-BR"/>
        </w:rPr>
        <w:t>Achievement</w:t>
      </w:r>
      <w:proofErr w:type="spellEnd"/>
      <w:r w:rsidRPr="00EF5081">
        <w:rPr>
          <w:lang w:val="pt-BR"/>
        </w:rPr>
        <w:t xml:space="preserve"> Worth) para priorização de corredores;</w:t>
      </w:r>
    </w:p>
    <w:p w14:paraId="24FA997E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Fig. 11: Comparação de </w:t>
      </w:r>
      <w:proofErr w:type="spellStart"/>
      <w:r w:rsidRPr="00EF5081">
        <w:rPr>
          <w:lang w:val="pt-BR"/>
        </w:rPr>
        <w:t>islanding</w:t>
      </w:r>
      <w:proofErr w:type="spellEnd"/>
      <w:r w:rsidRPr="00EF5081">
        <w:rPr>
          <w:lang w:val="pt-BR"/>
        </w:rPr>
        <w:t xml:space="preserve"> com/sem SRI adaptativo;</w:t>
      </w:r>
    </w:p>
    <w:p w14:paraId="3CDF33EA" w14:textId="77777777" w:rsidR="00EF5081" w:rsidRPr="00EF5081" w:rsidRDefault="00EF5081" w:rsidP="00EF5081">
      <w:pPr>
        <w:rPr>
          <w:lang w:val="pt-BR"/>
        </w:rPr>
      </w:pPr>
      <w:r w:rsidRPr="00EF5081">
        <w:rPr>
          <w:lang w:val="pt-BR"/>
        </w:rPr>
        <w:t xml:space="preserve">• Tabela IV: Valores quantitativos de </w:t>
      </w:r>
      <w:r>
        <w:t>Φ</w:t>
      </w:r>
      <w:r w:rsidRPr="00EF5081">
        <w:rPr>
          <w:lang w:val="pt-BR"/>
        </w:rPr>
        <w:t xml:space="preserve">, </w:t>
      </w:r>
      <w:r>
        <w:t>Λ</w:t>
      </w:r>
      <w:r w:rsidRPr="00EF5081">
        <w:rPr>
          <w:lang w:val="pt-BR"/>
        </w:rPr>
        <w:t xml:space="preserve">, </w:t>
      </w:r>
      <w:r>
        <w:t>Ε</w:t>
      </w:r>
      <w:r w:rsidRPr="00EF5081">
        <w:rPr>
          <w:lang w:val="pt-BR"/>
        </w:rPr>
        <w:t xml:space="preserve">, </w:t>
      </w:r>
      <w:r>
        <w:t>Π</w:t>
      </w:r>
      <w:r w:rsidRPr="00EF5081">
        <w:rPr>
          <w:lang w:val="pt-BR"/>
        </w:rPr>
        <w:t xml:space="preserve"> para cada estratégia;</w:t>
      </w:r>
    </w:p>
    <w:p w14:paraId="59D77A3D" w14:textId="77777777" w:rsidR="00EF5081" w:rsidRDefault="00EF5081" w:rsidP="00EF5081">
      <w:pPr>
        <w:rPr>
          <w:lang w:val="pt-BR"/>
        </w:rPr>
      </w:pPr>
      <w:r w:rsidRPr="00EF5081">
        <w:rPr>
          <w:lang w:val="pt-BR"/>
        </w:rPr>
        <w:t>• Tabela V: Comparação de desempenho entre as estratégias analisadas.</w:t>
      </w:r>
    </w:p>
    <w:p w14:paraId="6C8D7459" w14:textId="77777777" w:rsidR="00EF5081" w:rsidRDefault="00EF5081" w:rsidP="00EF5081">
      <w:pPr>
        <w:rPr>
          <w:lang w:val="pt-BR"/>
        </w:rPr>
      </w:pPr>
    </w:p>
    <w:sectPr w:rsidR="00EF5081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81"/>
    <w:rsid w:val="000131F2"/>
    <w:rsid w:val="0007293B"/>
    <w:rsid w:val="0008424C"/>
    <w:rsid w:val="00096FFB"/>
    <w:rsid w:val="000C625D"/>
    <w:rsid w:val="000D45BD"/>
    <w:rsid w:val="00115371"/>
    <w:rsid w:val="00172112"/>
    <w:rsid w:val="00172264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6E78DB"/>
    <w:rsid w:val="00785F46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D2C19"/>
    <w:rsid w:val="00BF51C6"/>
    <w:rsid w:val="00C03A12"/>
    <w:rsid w:val="00CE4C5C"/>
    <w:rsid w:val="00D25A09"/>
    <w:rsid w:val="00D36EA1"/>
    <w:rsid w:val="00D63D8E"/>
    <w:rsid w:val="00E5575A"/>
    <w:rsid w:val="00ED59D0"/>
    <w:rsid w:val="00EF273B"/>
    <w:rsid w:val="00EF5081"/>
    <w:rsid w:val="00F371C2"/>
    <w:rsid w:val="00F77278"/>
    <w:rsid w:val="00FB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3EA7"/>
  <w15:chartTrackingRefBased/>
  <w15:docId w15:val="{92BA8115-1CD7-466D-B4FF-667978C8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50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50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50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50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50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5081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5081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5081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5081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5081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EF5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5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5081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EF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682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2025-05-10T12:41:00Z</dcterms:created>
  <dcterms:modified xsi:type="dcterms:W3CDTF">2025-05-15T22:09:00Z</dcterms:modified>
</cp:coreProperties>
</file>