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189D" w14:textId="77777777" w:rsidR="00E273E0" w:rsidRDefault="00E273E0" w:rsidP="00E273E0">
      <w:pPr>
        <w:rPr>
          <w:lang w:val="en-US"/>
        </w:rPr>
      </w:pPr>
      <w:r w:rsidRPr="00E273E0">
        <w:rPr>
          <w:lang w:val="en-US"/>
        </w:rPr>
        <w:t>Título: Quantitative Resilience Assessment for Power Transmission Systems Under Typhoon Weather</w:t>
      </w:r>
    </w:p>
    <w:p w14:paraId="663AE5F4" w14:textId="77777777" w:rsidR="00E273E0" w:rsidRPr="00E273E0" w:rsidRDefault="00E273E0" w:rsidP="00E273E0">
      <w:pPr>
        <w:rPr>
          <w:lang w:val="en-US"/>
        </w:rPr>
      </w:pPr>
    </w:p>
    <w:p w14:paraId="3C873353" w14:textId="77777777" w:rsidR="00E273E0" w:rsidRDefault="00E273E0" w:rsidP="00E273E0">
      <w:pPr>
        <w:rPr>
          <w:lang w:val="en-US"/>
        </w:rPr>
      </w:pPr>
      <w:r w:rsidRPr="00E273E0">
        <w:rPr>
          <w:lang w:val="en-US"/>
        </w:rPr>
        <w:t>Autores: Yihao Yang, Wenhu Tang, Yang Liu, Yanli Xin, Qinghua Wu</w:t>
      </w:r>
    </w:p>
    <w:p w14:paraId="6FBE0595" w14:textId="77777777" w:rsidR="00E273E0" w:rsidRPr="00E273E0" w:rsidRDefault="00E273E0" w:rsidP="00E273E0">
      <w:pPr>
        <w:rPr>
          <w:lang w:val="en-US"/>
        </w:rPr>
      </w:pPr>
    </w:p>
    <w:p w14:paraId="29C8CD66" w14:textId="77777777" w:rsidR="00E273E0" w:rsidRDefault="00E273E0" w:rsidP="00E273E0">
      <w:pPr>
        <w:rPr>
          <w:lang w:val="en-US"/>
        </w:rPr>
      </w:pPr>
      <w:r w:rsidRPr="00E273E0">
        <w:rPr>
          <w:lang w:val="en-US"/>
        </w:rPr>
        <w:t>Instituição: South China University of Technology (China)</w:t>
      </w:r>
    </w:p>
    <w:p w14:paraId="72396E70" w14:textId="77777777" w:rsidR="00E273E0" w:rsidRPr="00E273E0" w:rsidRDefault="00E273E0" w:rsidP="00E273E0">
      <w:pPr>
        <w:rPr>
          <w:lang w:val="en-US"/>
        </w:rPr>
      </w:pPr>
    </w:p>
    <w:p w14:paraId="177C7828" w14:textId="43EF01AA" w:rsidR="00E273E0" w:rsidRDefault="00E273E0" w:rsidP="00E273E0">
      <w:r>
        <w:t>Resumo do Abstract</w:t>
      </w:r>
    </w:p>
    <w:p w14:paraId="1D1A4F8E" w14:textId="77777777" w:rsidR="00E273E0" w:rsidRDefault="00E273E0" w:rsidP="00E273E0">
      <w:r>
        <w:t>Este artigo propõe uma estrutura quantitativa para avaliação da resiliência de sistemas de transmissão de energia submetidos a eventos extremos, com foco específico em tufões. O modelo considera os impactos espaciais e temporais da tempestade, utilizando um modelo paramétrico de campo de vento (Yan Meng) para estimar intensidade e duração dos efeitos. Um modelo probabilístico de falhas é desenvolvido a partir de curvas de fragilidade para torres e linhas, integrado a um modelo de restauração baseado em localização das falhas, recursos de reparo e planos de resposta emergencial. Propõe-se um novo índice de resiliência, o RRICD (Resilience Index Considering Duration), que considera simultaneamente a performance do sistema, a intensidade e a duração do evento. Os resultados com o sistema teste IEEE 6-barras sob o tufão Vicente demonstram que o índice RRICD supera métricas tradicionais em normalização e comparabilidade.</w:t>
      </w:r>
    </w:p>
    <w:p w14:paraId="31C6AF41" w14:textId="77777777" w:rsidR="00E273E0" w:rsidRDefault="00E273E0" w:rsidP="00E273E0"/>
    <w:p w14:paraId="39F4BE5B" w14:textId="7088E0F4" w:rsidR="00E273E0" w:rsidRDefault="00E273E0" w:rsidP="00E273E0">
      <w:r>
        <w:t>Introdução</w:t>
      </w:r>
    </w:p>
    <w:p w14:paraId="7D376CA4" w14:textId="77777777" w:rsidR="00E273E0" w:rsidRDefault="00E273E0" w:rsidP="00E273E0">
      <w:r>
        <w:t>Yang et al. (2018) iniciam distinguindo confiabilidade de resiliência. Embora tradicionalmente o planejamento elétrico tenha se focado em confiabilidade, eventos como o terremoto de Fukushima e desastres climáticos revelaram lacunas na capacidade de recuperação dos sistemas. O artigo defende que a resiliência deve incorporar aspectos de resistência, absorção, resposta e recuperação (cf. Panteli e Mancarella, 2015). O objetivo é desenvolver uma metodologia de avaliação quantitativa voltada para tufões, ultrapassando limitações de ferramentas como o HAZUS.</w:t>
      </w:r>
    </w:p>
    <w:p w14:paraId="5FC56775" w14:textId="77777777" w:rsidR="00E273E0" w:rsidRDefault="00E273E0" w:rsidP="00E273E0"/>
    <w:p w14:paraId="524FC9A3" w14:textId="0F670A95" w:rsidR="00E273E0" w:rsidRDefault="00E273E0" w:rsidP="00E273E0">
      <w:r>
        <w:t>Metodologia</w:t>
      </w:r>
    </w:p>
    <w:p w14:paraId="60D0DEFB" w14:textId="77777777" w:rsidR="00A364EE" w:rsidRDefault="00E273E0" w:rsidP="00E273E0">
      <w:r>
        <w:t>A estrutura proposta divide-se em três blocos:</w:t>
      </w:r>
    </w:p>
    <w:p w14:paraId="23D4A76C" w14:textId="77777777" w:rsidR="00A364EE" w:rsidRDefault="00E273E0" w:rsidP="00E273E0">
      <w:r>
        <w:t>(1) modelo do evento extremo</w:t>
      </w:r>
      <w:r w:rsidR="00A364EE">
        <w:t>;</w:t>
      </w:r>
    </w:p>
    <w:p w14:paraId="40751E70" w14:textId="77777777" w:rsidR="00A364EE" w:rsidRDefault="00E273E0" w:rsidP="00E273E0">
      <w:r>
        <w:t>(2) modelo do sistema de potência e</w:t>
      </w:r>
    </w:p>
    <w:p w14:paraId="0E52D4FD" w14:textId="77777777" w:rsidR="00A364EE" w:rsidRDefault="00E273E0" w:rsidP="00E273E0">
      <w:r>
        <w:t>(3) metodologia de avaliação da resiliência.</w:t>
      </w:r>
    </w:p>
    <w:p w14:paraId="59F74802" w14:textId="4D4294CA" w:rsidR="00E273E0" w:rsidRDefault="00E273E0" w:rsidP="00E273E0">
      <w:r>
        <w:t xml:space="preserve">Utiliza-se o modelo de campo de vento de Yan Meng (Meng et al., 1995) para simular a intensidade do tufão em função da distância radial, pressão e atrito. As falhas são modeladas por curvas de fragilidade lognormais, ajustadas por simulações em elementos finitos no COMSOL (DL/T5154-2002). A restauração considera tempo de deslocamento, intensidade climática </w:t>
      </w:r>
      <w:r>
        <w:lastRenderedPageBreak/>
        <w:t>(coeficiente kw) e disponibilidade de equipes. A resposta do sistema é modelada via fluxo ótimo de potência (DC OPF).</w:t>
      </w:r>
    </w:p>
    <w:p w14:paraId="5A6B61FB" w14:textId="77777777" w:rsidR="00E41FCD" w:rsidRDefault="00E41FCD" w:rsidP="00E273E0"/>
    <w:p w14:paraId="2279C7FE" w14:textId="1A7DA270" w:rsidR="00E41FCD" w:rsidRDefault="00E41FCD" w:rsidP="00E41FCD">
      <w:r>
        <w:t>"</w:t>
      </w:r>
      <w:r w:rsidRPr="00E41FCD">
        <w:t xml:space="preserve"> </w:t>
      </w:r>
      <w:r>
        <w:t>Um modelo de restauração do sistema de energia é desenvolvido com relação a</w:t>
      </w:r>
      <w:r>
        <w:t xml:space="preserve"> </w:t>
      </w:r>
      <w:r>
        <w:t>locais de falha, a intensidade do clima, a equipe de reparo</w:t>
      </w:r>
      <w:r>
        <w:t xml:space="preserve"> </w:t>
      </w:r>
      <w:r>
        <w:t>de reparo e os planos de resposta a emergências</w:t>
      </w:r>
      <w:r>
        <w:t>".</w:t>
      </w:r>
    </w:p>
    <w:p w14:paraId="400ABF75" w14:textId="77777777" w:rsidR="00E41FCD" w:rsidRDefault="00E41FCD" w:rsidP="00E41FCD"/>
    <w:p w14:paraId="2EAFC353" w14:textId="2CDE6ECB" w:rsidR="00E41FCD" w:rsidRDefault="00E41FCD" w:rsidP="00E41FCD">
      <w:r>
        <w:t>"</w:t>
      </w:r>
      <w:r w:rsidRPr="00E41FCD">
        <w:t xml:space="preserve"> </w:t>
      </w:r>
      <w:r>
        <w:t>É proposto um novo índice de avaliação, que considera</w:t>
      </w:r>
      <w:r>
        <w:t xml:space="preserve"> </w:t>
      </w:r>
      <w:r>
        <w:t>o impacto em relação à duração e à intensidade de um evento extremo</w:t>
      </w:r>
      <w:r>
        <w:t>".</w:t>
      </w:r>
    </w:p>
    <w:p w14:paraId="66E8BE36" w14:textId="77777777" w:rsidR="00E41FCD" w:rsidRDefault="00E41FCD" w:rsidP="00E41FCD"/>
    <w:p w14:paraId="513F9A11" w14:textId="58C27AA4" w:rsidR="00136D29" w:rsidRDefault="00136D29" w:rsidP="00136D29">
      <w:r>
        <w:t>"</w:t>
      </w:r>
      <w:r>
        <w:t>A primeira parte é o modelo de evento extremo, que avalia os impactos usando um modelo de avaliação de risco para eventos extremos.</w:t>
      </w:r>
      <w:r>
        <w:t xml:space="preserve"> </w:t>
      </w:r>
      <w:r>
        <w:t>O modelo de campo de vento de tufão para avaliação de risco de desastres</w:t>
      </w:r>
      <w:r>
        <w:t xml:space="preserve"> </w:t>
      </w:r>
      <w:r>
        <w:t>é aplicado para modelar a intensidade e a duração de um tufão</w:t>
      </w:r>
    </w:p>
    <w:p w14:paraId="49EFEAFC" w14:textId="77777777" w:rsidR="00136D29" w:rsidRDefault="00136D29" w:rsidP="00136D29"/>
    <w:p w14:paraId="7517D015" w14:textId="05164773" w:rsidR="00136D29" w:rsidRDefault="00136D29" w:rsidP="00136D29">
      <w:r>
        <w:t>O segundo é para modelagem do sistema de energia, incluindo um modelo de interrupção de componente, um modelo de restauração e um</w:t>
      </w:r>
      <w:r>
        <w:t xml:space="preserve"> </w:t>
      </w:r>
      <w:r>
        <w:t>modelo de resposta. O modelo de interrupção de componente expressa a</w:t>
      </w:r>
      <w:r>
        <w:t xml:space="preserve"> </w:t>
      </w:r>
      <w:r>
        <w:t>relação entre as taxas de falha de um componente dos sistemas de transmissão e a intensidade do clima, por exemplo, a velocidade do vento.</w:t>
      </w:r>
      <w:r>
        <w:t xml:space="preserve"> </w:t>
      </w:r>
      <w:r>
        <w:t>O modelo de restauração foi desenvolvido para incorporar os processos de restauração de sistemas de energia, de acordo com a localização específica da falha, a intensidade do clima, a equipe de reparo e os</w:t>
      </w:r>
    </w:p>
    <w:p w14:paraId="32611E87" w14:textId="42BFCC50" w:rsidR="008072AD" w:rsidRDefault="00136D29" w:rsidP="00136D29">
      <w:r>
        <w:t>planos de resposta a emergências. O comportamento dos sistemas de energia após a falha de um componente é descrito pelo modelo de resposta</w:t>
      </w:r>
      <w:r>
        <w:t>.</w:t>
      </w:r>
    </w:p>
    <w:p w14:paraId="56A8768F" w14:textId="77777777" w:rsidR="00136D29" w:rsidRDefault="00136D29" w:rsidP="00136D29"/>
    <w:p w14:paraId="28ECCF98" w14:textId="0516DA54" w:rsidR="00136D29" w:rsidRDefault="00136D29" w:rsidP="00E273E0">
      <w:r>
        <w:t>A última parte é a metodologia de avaliação da resiliência,</w:t>
      </w:r>
      <w:r>
        <w:t xml:space="preserve"> </w:t>
      </w:r>
      <w:r>
        <w:t>que pode derivar índices de resiliência com base em uma análise</w:t>
      </w:r>
      <w:r>
        <w:t xml:space="preserve"> </w:t>
      </w:r>
      <w:r>
        <w:t>simulação sequencial de Monte Carlo e em um método de partição de células.</w:t>
      </w:r>
      <w:r>
        <w:t>"</w:t>
      </w:r>
    </w:p>
    <w:p w14:paraId="2394CF94" w14:textId="77777777" w:rsidR="00136D29" w:rsidRDefault="00136D29" w:rsidP="00E273E0"/>
    <w:p w14:paraId="64F07C3E" w14:textId="77777777" w:rsidR="00136D29" w:rsidRDefault="00136D29" w:rsidP="00E273E0"/>
    <w:p w14:paraId="0C93292F" w14:textId="77777777" w:rsidR="00136D29" w:rsidRDefault="00136D29" w:rsidP="00E273E0"/>
    <w:p w14:paraId="7BFEA222" w14:textId="77777777" w:rsidR="00136D29" w:rsidRDefault="00136D29" w:rsidP="00E273E0"/>
    <w:p w14:paraId="542B6198" w14:textId="77777777" w:rsidR="00136D29" w:rsidRDefault="00136D29" w:rsidP="00E273E0"/>
    <w:p w14:paraId="7E924DBD" w14:textId="08332D1B" w:rsidR="00E273E0" w:rsidRDefault="00E273E0" w:rsidP="00E273E0">
      <w:r>
        <w:t>Resultados</w:t>
      </w:r>
    </w:p>
    <w:p w14:paraId="60A7AD30" w14:textId="77777777" w:rsidR="00A364EE" w:rsidRDefault="00E273E0" w:rsidP="00E273E0">
      <w:r>
        <w:t>O caso de teste aplica o tufão Vicente sobre o sistema IEEE 6-barras com localização georreferenciada dos barramentos.</w:t>
      </w:r>
    </w:p>
    <w:p w14:paraId="09BFEB78" w14:textId="77777777" w:rsidR="00A364EE" w:rsidRDefault="00E273E0" w:rsidP="00E273E0">
      <w:r>
        <w:t>Quatro cenários são avaliados:</w:t>
      </w:r>
    </w:p>
    <w:p w14:paraId="25925D2F" w14:textId="77777777" w:rsidR="00A364EE" w:rsidRDefault="00E273E0" w:rsidP="00E273E0">
      <w:r>
        <w:t>base (Case 1),</w:t>
      </w:r>
    </w:p>
    <w:p w14:paraId="713A598B" w14:textId="77777777" w:rsidR="00A364EE" w:rsidRDefault="00E273E0" w:rsidP="00E273E0">
      <w:r>
        <w:t>reforço estrutural (Case 2),</w:t>
      </w:r>
    </w:p>
    <w:p w14:paraId="55DF98D1" w14:textId="77777777" w:rsidR="00A364EE" w:rsidRDefault="00E273E0" w:rsidP="00E273E0">
      <w:r>
        <w:t>reparo rápido (Case 3) e</w:t>
      </w:r>
    </w:p>
    <w:p w14:paraId="599E1F1A" w14:textId="77777777" w:rsidR="00A364EE" w:rsidRDefault="00E273E0" w:rsidP="00E273E0">
      <w:r>
        <w:t>recursos limitados (Case 4).</w:t>
      </w:r>
    </w:p>
    <w:p w14:paraId="4DBD43C5" w14:textId="6EFF77A6" w:rsidR="00E273E0" w:rsidRDefault="00E273E0" w:rsidP="00E273E0">
      <w:r>
        <w:lastRenderedPageBreak/>
        <w:t>Os resultados mostram que o Case 3 apresenta maior índice RRICD devido à redução no tempo de restauração. O Case 2 teve efeito limitado, mostrando que reforço estrutural genérico pode não ser eficaz frente a eventos com trajetória específica. O Case 4 foi o mais vulnerável, com o menor índice RRICD.</w:t>
      </w:r>
    </w:p>
    <w:p w14:paraId="36AF688C" w14:textId="77777777" w:rsidR="00E273E0" w:rsidRDefault="00E273E0" w:rsidP="00E273E0"/>
    <w:p w14:paraId="70DDBCFF" w14:textId="3E461F57" w:rsidR="00E273E0" w:rsidRDefault="00E273E0" w:rsidP="00E273E0">
      <w:r>
        <w:t>Discussão</w:t>
      </w:r>
    </w:p>
    <w:p w14:paraId="05A87A14" w14:textId="77777777" w:rsidR="00E273E0" w:rsidRDefault="00E273E0" w:rsidP="00E273E0">
      <w:r>
        <w:t>Os autores demonstram que o novo índice RRICD supera os índices clássicos Rt e Rr. O RRICD incorpora a duração do evento (Tdur), além da área de impacto no desempenho. Isso o torna mais sensível a variações no tempo de recuperação e mais adequado para comparar sistemas ou estratégias distintas. A validação empírica com o Vicente mostra que decisões de planejamento baseadas apenas em reforço podem ser ineficientes se não acompanhadas de estratégias operacionais inteligentes.</w:t>
      </w:r>
    </w:p>
    <w:p w14:paraId="1556B086" w14:textId="77777777" w:rsidR="00E273E0" w:rsidRDefault="00E273E0" w:rsidP="00E273E0"/>
    <w:p w14:paraId="2B5FF30F" w14:textId="6D02C955" w:rsidR="00E273E0" w:rsidRDefault="00E273E0" w:rsidP="00E273E0">
      <w:r>
        <w:t>Conclusão Crítica</w:t>
      </w:r>
    </w:p>
    <w:p w14:paraId="1AFC5D38" w14:textId="77777777" w:rsidR="00E273E0" w:rsidRDefault="00E273E0" w:rsidP="00E273E0">
      <w:r>
        <w:t>O trabalho de Yang et al. (2018) contribui significativamente para a quantificação da resiliência em sistemas de transmissão sob tufões. A proposta de um índice ajustado à duração e à intensidade do evento é uma inovação relevante. A metodologia é compatível com suas métricas (RI, TR, A), mas adapta melhor o conceito de absorção e restauração ao contexto meteorológico prolongado. Faltam, porém, modelos térmicos e de radiação solar, como os que você propõe em sua tese. Ainda assim, a abordagem geral é altamente adaptável para eventos climáticos extremos prolongados.</w:t>
      </w:r>
    </w:p>
    <w:p w14:paraId="5D83259F" w14:textId="77777777" w:rsidR="00E273E0" w:rsidRDefault="00E273E0" w:rsidP="00E273E0"/>
    <w:p w14:paraId="5E90EDDB" w14:textId="6333A3F8" w:rsidR="00E273E0" w:rsidRDefault="00E273E0" w:rsidP="00E273E0">
      <w:r>
        <w:t>Resumo dos Achados Principais</w:t>
      </w:r>
    </w:p>
    <w:p w14:paraId="7901D374" w14:textId="77777777" w:rsidR="00E273E0" w:rsidRDefault="00E273E0" w:rsidP="00E273E0">
      <w:r>
        <w:t>- Proposição do índice RRICD, que considera desempenho, duração e intensidade do evento</w:t>
      </w:r>
    </w:p>
    <w:p w14:paraId="561A14BB" w14:textId="77777777" w:rsidR="00E273E0" w:rsidRDefault="00E273E0" w:rsidP="00E273E0">
      <w:r>
        <w:t>- Integração de simulação estocástica (Monte Carlo) com campo de vento físico</w:t>
      </w:r>
    </w:p>
    <w:p w14:paraId="419A330F" w14:textId="77777777" w:rsidR="00E273E0" w:rsidRDefault="00E273E0" w:rsidP="00E273E0">
      <w:r>
        <w:t>- Modelagem probabilística de falhas com curvas de fragilidade derivadas por elementos finitos</w:t>
      </w:r>
    </w:p>
    <w:p w14:paraId="53A59A38" w14:textId="77777777" w:rsidR="00E273E0" w:rsidRDefault="00E273E0" w:rsidP="00E273E0">
      <w:r>
        <w:t>- Simulação realista do tufão Vicente sobre sistema IEEE 6-barras</w:t>
      </w:r>
    </w:p>
    <w:p w14:paraId="131A3308" w14:textId="77777777" w:rsidR="00E273E0" w:rsidRDefault="00E273E0" w:rsidP="00E273E0">
      <w:r>
        <w:t>- Demonstração da superioridade do índice RRICD em comparação com métricas convencionais</w:t>
      </w:r>
    </w:p>
    <w:p w14:paraId="0BC910CE" w14:textId="77777777" w:rsidR="00E273E0" w:rsidRDefault="00E273E0" w:rsidP="00E273E0"/>
    <w:p w14:paraId="6F2487D4" w14:textId="0308C6AA" w:rsidR="00E273E0" w:rsidRDefault="00E273E0" w:rsidP="00E273E0">
      <w:r>
        <w:t>Descrição Técnica das Figuras, Tabelas e Gráficos</w:t>
      </w:r>
    </w:p>
    <w:p w14:paraId="677BCC9F" w14:textId="77777777" w:rsidR="00E273E0" w:rsidRDefault="00E273E0" w:rsidP="00E273E0">
      <w:r>
        <w:t>Figura 1 – Esquema do framework de avaliação de resiliência.</w:t>
      </w:r>
    </w:p>
    <w:p w14:paraId="1365CC4D" w14:textId="77777777" w:rsidR="00E273E0" w:rsidRDefault="00E273E0" w:rsidP="00E273E0">
      <w:r>
        <w:t>Figura 2 – Duração de impacto do tufão sobre uma região.</w:t>
      </w:r>
    </w:p>
    <w:p w14:paraId="435B65F6" w14:textId="77777777" w:rsidR="00E273E0" w:rsidRDefault="00E273E0" w:rsidP="00E273E0">
      <w:r>
        <w:t>Figura 3 – Curvas de fragilidade de linhas e torres.</w:t>
      </w:r>
    </w:p>
    <w:p w14:paraId="24636CDB" w14:textId="77777777" w:rsidR="00E273E0" w:rsidRDefault="00E273E0" w:rsidP="00E273E0">
      <w:r>
        <w:t>Figura 4 – Curva de status do sistema com áreas A1, A2 e A3 (base para RRICD).</w:t>
      </w:r>
    </w:p>
    <w:p w14:paraId="1553C2E9" w14:textId="77777777" w:rsidR="00E273E0" w:rsidRDefault="00E273E0" w:rsidP="00E273E0">
      <w:r>
        <w:t>Figura 5 – Fluxograma de cálculo do índice RRICD.</w:t>
      </w:r>
    </w:p>
    <w:p w14:paraId="496924B5" w14:textId="77777777" w:rsidR="00E273E0" w:rsidRDefault="00E273E0" w:rsidP="00E273E0">
      <w:r>
        <w:t>Figura 6 – Mapa da trajetória do tufão Vicente e rede de teste.</w:t>
      </w:r>
    </w:p>
    <w:p w14:paraId="61B21935" w14:textId="77777777" w:rsidR="00E273E0" w:rsidRDefault="00E273E0" w:rsidP="00E273E0">
      <w:r>
        <w:t>Figura 7 – Resultados simulados: velocidade do vento por barramento, taxa de falha por linha e curva de desempenho por caso.</w:t>
      </w:r>
    </w:p>
    <w:p w14:paraId="087DDDD9" w14:textId="77777777" w:rsidR="00E273E0" w:rsidRDefault="00E273E0" w:rsidP="00E273E0">
      <w:r>
        <w:t>Tabela 1 – Localização geográfica dos barramentos.</w:t>
      </w:r>
    </w:p>
    <w:p w14:paraId="5FB48E45" w14:textId="77777777" w:rsidR="00E273E0" w:rsidRDefault="00E273E0" w:rsidP="00E273E0">
      <w:r>
        <w:lastRenderedPageBreak/>
        <w:t>Tabela 2 – Segmentação das linhas por célula.</w:t>
      </w:r>
    </w:p>
    <w:p w14:paraId="2CC2CF00" w14:textId="77777777" w:rsidR="00E273E0" w:rsidRDefault="00E273E0" w:rsidP="00E273E0">
      <w:r>
        <w:t>Tabela 3 – Resultados comparativos dos índices Rt, Rr e RRICD.</w:t>
      </w:r>
    </w:p>
    <w:p w14:paraId="3AFB2438" w14:textId="77777777" w:rsidR="00E273E0" w:rsidRDefault="00E273E0" w:rsidP="00E273E0"/>
    <w:sectPr w:rsidR="00E273E0" w:rsidSect="005C7A7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E0"/>
    <w:rsid w:val="000131F2"/>
    <w:rsid w:val="00050A60"/>
    <w:rsid w:val="0007293B"/>
    <w:rsid w:val="0008424C"/>
    <w:rsid w:val="00096FFB"/>
    <w:rsid w:val="000C5A52"/>
    <w:rsid w:val="000C625D"/>
    <w:rsid w:val="000D45BD"/>
    <w:rsid w:val="00136D29"/>
    <w:rsid w:val="00172112"/>
    <w:rsid w:val="00172171"/>
    <w:rsid w:val="00172264"/>
    <w:rsid w:val="00196796"/>
    <w:rsid w:val="001F4610"/>
    <w:rsid w:val="0022366E"/>
    <w:rsid w:val="0024739D"/>
    <w:rsid w:val="00285BB1"/>
    <w:rsid w:val="002A63F1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95B01"/>
    <w:rsid w:val="005C7A7F"/>
    <w:rsid w:val="0061413D"/>
    <w:rsid w:val="006363A1"/>
    <w:rsid w:val="006E78DB"/>
    <w:rsid w:val="00744A15"/>
    <w:rsid w:val="00785F46"/>
    <w:rsid w:val="007E0455"/>
    <w:rsid w:val="007E69F0"/>
    <w:rsid w:val="00804B85"/>
    <w:rsid w:val="008072AD"/>
    <w:rsid w:val="008226B2"/>
    <w:rsid w:val="008C0D5E"/>
    <w:rsid w:val="00A04542"/>
    <w:rsid w:val="00A364EE"/>
    <w:rsid w:val="00A74270"/>
    <w:rsid w:val="00A773DD"/>
    <w:rsid w:val="00A91291"/>
    <w:rsid w:val="00A94B20"/>
    <w:rsid w:val="00AA4524"/>
    <w:rsid w:val="00AC5231"/>
    <w:rsid w:val="00AD743E"/>
    <w:rsid w:val="00B30ED7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3E0"/>
    <w:rsid w:val="00E2772A"/>
    <w:rsid w:val="00E41FCD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2A630"/>
  <w15:chartTrackingRefBased/>
  <w15:docId w15:val="{42698418-3544-431C-A1FC-E3CE2C8D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7F"/>
    <w:pPr>
      <w:spacing w:after="0" w:line="336" w:lineRule="auto"/>
    </w:pPr>
    <w:rPr>
      <w:rFonts w:ascii="Times New Roman" w:hAnsi="Times New Roman"/>
      <w:kern w:val="2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3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3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3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3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3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3E0"/>
    <w:rPr>
      <w:rFonts w:eastAsiaTheme="majorEastAsia" w:cstheme="majorBidi"/>
      <w:color w:val="0F4761" w:themeColor="accent1" w:themeShade="BF"/>
      <w:kern w:val="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3E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3E0"/>
    <w:rPr>
      <w:rFonts w:eastAsiaTheme="majorEastAsia" w:cstheme="majorBidi"/>
      <w:color w:val="595959" w:themeColor="text1" w:themeTint="A6"/>
      <w:kern w:val="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3E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3E0"/>
    <w:rPr>
      <w:rFonts w:eastAsiaTheme="majorEastAsia" w:cstheme="majorBidi"/>
      <w:color w:val="272727" w:themeColor="text1" w:themeTint="D8"/>
      <w:kern w:val="2"/>
    </w:rPr>
  </w:style>
  <w:style w:type="paragraph" w:styleId="PargrafodaLista">
    <w:name w:val="List Paragraph"/>
    <w:basedOn w:val="Normal"/>
    <w:uiPriority w:val="34"/>
    <w:qFormat/>
    <w:rsid w:val="00E273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3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3E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RefernciaIntensa">
    <w:name w:val="Intense Reference"/>
    <w:basedOn w:val="Fontepargpadro"/>
    <w:uiPriority w:val="32"/>
    <w:qFormat/>
    <w:rsid w:val="00E27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1040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7</cp:revision>
  <dcterms:created xsi:type="dcterms:W3CDTF">2025-05-15T23:06:00Z</dcterms:created>
  <dcterms:modified xsi:type="dcterms:W3CDTF">2025-05-16T05:21:00Z</dcterms:modified>
</cp:coreProperties>
</file>