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5062" w14:textId="785C1E31" w:rsidR="00AC5231" w:rsidRDefault="003B259F">
      <w:pPr>
        <w:rPr>
          <w:lang w:val="en-US"/>
        </w:rPr>
      </w:pPr>
      <w:r w:rsidRPr="003B259F">
        <w:rPr>
          <w:lang w:val="en-US"/>
        </w:rPr>
        <w:t>The Anatomy of the 2016 South Australia Blackout-A Catastrophic Event in a High Renewable Network</w:t>
      </w:r>
    </w:p>
    <w:p w14:paraId="5A7CA01F" w14:textId="77777777" w:rsidR="003B259F" w:rsidRDefault="003B259F">
      <w:pPr>
        <w:rPr>
          <w:lang w:val="en-US"/>
        </w:rPr>
      </w:pPr>
    </w:p>
    <w:p w14:paraId="47E57CAC" w14:textId="77777777" w:rsidR="00E20054" w:rsidRPr="00E20054" w:rsidRDefault="00E20054" w:rsidP="00E200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9ECA235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realiza uma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forense detalhada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apagão de 28/09/2016 no Sul da Austrália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causado por:</w:t>
      </w:r>
    </w:p>
    <w:p w14:paraId="1617AF49" w14:textId="77777777" w:rsidR="00E20054" w:rsidRPr="00E20054" w:rsidRDefault="00E20054" w:rsidP="00E20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 severa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 climático extremo);</w:t>
      </w:r>
    </w:p>
    <w:p w14:paraId="25AC49CE" w14:textId="77777777" w:rsidR="00E20054" w:rsidRPr="00E20054" w:rsidRDefault="00E20054" w:rsidP="00E20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físicos a torres e linhas de transmissão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9825D9" w14:textId="77777777" w:rsidR="00E20054" w:rsidRPr="00E20054" w:rsidRDefault="00E20054" w:rsidP="00E20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sucessiva de linhas;</w:t>
      </w:r>
    </w:p>
    <w:p w14:paraId="30F0D0A5" w14:textId="77777777" w:rsidR="00E20054" w:rsidRPr="00E20054" w:rsidRDefault="00E20054" w:rsidP="00E20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 em cascata de parques eólicos;</w:t>
      </w:r>
    </w:p>
    <w:p w14:paraId="2181297A" w14:textId="77777777" w:rsidR="00E20054" w:rsidRPr="00E20054" w:rsidRDefault="00E20054" w:rsidP="00E200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da rede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de frequência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20F77F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a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(ou falta dela)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transmissão altamente dependente de renováveis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real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C3BC98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9F3F2E">
          <v:rect id="_x0000_i1025" style="width:0;height:1.5pt" o:hralign="center" o:hrstd="t" o:hr="t" fillcolor="#a0a0a0" stroked="f"/>
        </w:pict>
      </w:r>
    </w:p>
    <w:p w14:paraId="3A26FDFE" w14:textId="77777777" w:rsidR="00E20054" w:rsidRPr="00E20054" w:rsidRDefault="00E20054" w:rsidP="00E200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(muito relevantes)</w:t>
      </w:r>
    </w:p>
    <w:p w14:paraId="04EACCE6" w14:textId="77777777" w:rsidR="00E20054" w:rsidRPr="00E20054" w:rsidRDefault="00E20054" w:rsidP="00E200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Ligação direta clima → falha física → colapso do sistema</w:t>
      </w:r>
    </w:p>
    <w:p w14:paraId="3EC33BF1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claramente a cadeia causal:</w:t>
      </w:r>
    </w:p>
    <w:p w14:paraId="62DF62B7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 severa → danos físicos em linhas → múltiplas faltas → perda de geração eólica → sobrecarga de interconexões → separação da rede → colapso de frequência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DB0257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encadeamento é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tipo de narrativa técnico-causal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exigida numa tese sobre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F580C0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47AFF1">
          <v:rect id="_x0000_i1026" style="width:0;height:1.5pt" o:hralign="center" o:hrstd="t" o:hr="t" fillcolor="#a0a0a0" stroked="f"/>
        </w:pict>
      </w:r>
    </w:p>
    <w:p w14:paraId="3F59019E" w14:textId="77777777" w:rsidR="00E20054" w:rsidRPr="00E20054" w:rsidRDefault="00E20054" w:rsidP="00E200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Análise profunda do papel das linhas de transmissão</w:t>
      </w:r>
    </w:p>
    <w:p w14:paraId="549FE942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Destaques técnicos relevantes:</w:t>
      </w:r>
    </w:p>
    <w:p w14:paraId="15C4612C" w14:textId="77777777" w:rsidR="00E20054" w:rsidRPr="00E20054" w:rsidRDefault="00E20054" w:rsidP="00E20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do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gargalo crítico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buses 509–507;</w:t>
      </w:r>
    </w:p>
    <w:p w14:paraId="29D08072" w14:textId="77777777" w:rsidR="00E20054" w:rsidRPr="00E20054" w:rsidRDefault="00E20054" w:rsidP="00E20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do papel do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das linhas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(≈450 km);</w:t>
      </w:r>
    </w:p>
    <w:p w14:paraId="3EDC5661" w14:textId="77777777" w:rsidR="00E20054" w:rsidRPr="00E20054" w:rsidRDefault="00E20054" w:rsidP="00E20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da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capacitância de linha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(efeito Ferranti);</w:t>
      </w:r>
    </w:p>
    <w:p w14:paraId="25EA8D39" w14:textId="77777777" w:rsidR="00E20054" w:rsidRPr="00E20054" w:rsidRDefault="00E20054" w:rsidP="00E20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influência da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compensação série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estabilidade angular;</w:t>
      </w:r>
    </w:p>
    <w:p w14:paraId="32389036" w14:textId="77777777" w:rsidR="00E20054" w:rsidRPr="00E20054" w:rsidRDefault="00E20054" w:rsidP="00E200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o colapso foi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disparado por falhas em LT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por renováveis.</w:t>
      </w:r>
    </w:p>
    <w:p w14:paraId="3F012C8D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são protagonistas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elementos secundários.</w:t>
      </w:r>
    </w:p>
    <w:p w14:paraId="2B16FB42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355710">
          <v:rect id="_x0000_i1027" style="width:0;height:1.5pt" o:hralign="center" o:hrstd="t" o:hr="t" fillcolor="#a0a0a0" stroked="f"/>
        </w:pict>
      </w:r>
    </w:p>
    <w:p w14:paraId="2BB1EB3E" w14:textId="77777777" w:rsidR="00E20054" w:rsidRPr="00E20054" w:rsidRDefault="00E20054" w:rsidP="00E200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Resiliência tratada no tempo (evento → degradação → colapso)</w:t>
      </w:r>
    </w:p>
    <w:p w14:paraId="639A8250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formule um índice explícito, o artigo analisa:</w:t>
      </w:r>
    </w:p>
    <w:p w14:paraId="39861A45" w14:textId="77777777" w:rsidR="00E20054" w:rsidRPr="00E20054" w:rsidRDefault="00E20054" w:rsidP="00E20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fase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(estado frágil, baixa inércia);</w:t>
      </w:r>
    </w:p>
    <w:p w14:paraId="68AA8F6C" w14:textId="77777777" w:rsidR="00E20054" w:rsidRPr="00E20054" w:rsidRDefault="00E20054" w:rsidP="00E20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fase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evento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(perda progressiva de linhas);</w:t>
      </w:r>
    </w:p>
    <w:p w14:paraId="724D1193" w14:textId="77777777" w:rsidR="00E20054" w:rsidRPr="00E20054" w:rsidRDefault="00E20054" w:rsidP="00E20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fase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pós-separação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(falha de mecanismos de sobrevivência);</w:t>
      </w:r>
    </w:p>
    <w:p w14:paraId="11A83176" w14:textId="77777777" w:rsidR="00E20054" w:rsidRPr="00E20054" w:rsidRDefault="00E20054" w:rsidP="00E200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incapacidade de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funcional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7E357C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se alinha diretamente com a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temporal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usada na literatura (performance × tempo).</w:t>
      </w:r>
    </w:p>
    <w:p w14:paraId="10D6CA0A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59E897">
          <v:rect id="_x0000_i1028" style="width:0;height:1.5pt" o:hralign="center" o:hrstd="t" o:hr="t" fillcolor="#a0a0a0" stroked="f"/>
        </w:pict>
      </w:r>
    </w:p>
    <w:p w14:paraId="1B119C01" w14:textId="77777777" w:rsidR="00E20054" w:rsidRPr="00E20054" w:rsidRDefault="00E20054" w:rsidP="00E200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Diferenciação clara entre estabilidade e resiliência</w:t>
      </w:r>
    </w:p>
    <w:p w14:paraId="0D9A98F3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que:</w:t>
      </w:r>
    </w:p>
    <w:p w14:paraId="7EEA59CC" w14:textId="77777777" w:rsidR="00E20054" w:rsidRPr="00E20054" w:rsidRDefault="00E20054" w:rsidP="00E20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aumentar suporte reativo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evitou o colapso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83D7CC" w14:textId="77777777" w:rsidR="00E20054" w:rsidRPr="00E20054" w:rsidRDefault="00E20054" w:rsidP="00E20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central foi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 + ROCOF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tensão;</w:t>
      </w:r>
    </w:p>
    <w:p w14:paraId="7FFAB480" w14:textId="77777777" w:rsidR="00E20054" w:rsidRPr="00E20054" w:rsidRDefault="00E20054" w:rsidP="00E200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sistemas podem ser “estáveis” em regime normal, mas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resilientes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eventos extremos.</w:t>
      </w:r>
    </w:p>
    <w:p w14:paraId="4FEB9B65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a sua tese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B54623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3CB249">
          <v:rect id="_x0000_i1029" style="width:0;height:1.5pt" o:hralign="center" o:hrstd="t" o:hr="t" fillcolor="#a0a0a0" stroked="f"/>
        </w:pict>
      </w:r>
    </w:p>
    <w:p w14:paraId="71507B63" w14:textId="77777777" w:rsidR="00E20054" w:rsidRPr="00E20054" w:rsidRDefault="00E20054" w:rsidP="00E200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(não comprometedoras)</w:t>
      </w:r>
    </w:p>
    <w:p w14:paraId="379A7A87" w14:textId="77777777" w:rsidR="00E20054" w:rsidRPr="00E20054" w:rsidRDefault="00E20054" w:rsidP="00E200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numérico de resiliência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5B66BC" w14:textId="77777777" w:rsidR="00E20054" w:rsidRPr="00E20054" w:rsidRDefault="00E20054" w:rsidP="00E200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maior em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eletromecânica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em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detalhada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80FE09" w14:textId="77777777" w:rsidR="00E20054" w:rsidRPr="00E20054" w:rsidRDefault="00E20054" w:rsidP="00E200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físicos não são modelados explicitamente.</w:t>
      </w:r>
    </w:p>
    <w:p w14:paraId="049E5A8B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Estas limitações não invalidam o artigo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elas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lacuna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4A042D9C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9074A8">
          <v:rect id="_x0000_i1030" style="width:0;height:1.5pt" o:hralign="center" o:hrstd="t" o:hr="t" fillcolor="#a0a0a0" stroked="f"/>
        </w:pict>
      </w:r>
    </w:p>
    <w:p w14:paraId="1D568C78" w14:textId="77777777" w:rsidR="00E20054" w:rsidRPr="00E20054" w:rsidRDefault="00E20054" w:rsidP="00E200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C57A66C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200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1089"/>
      </w:tblGrid>
      <w:tr w:rsidR="00E20054" w:rsidRPr="00E20054" w14:paraId="742D5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83401" w14:textId="77777777" w:rsidR="00E20054" w:rsidRPr="00E20054" w:rsidRDefault="00E20054" w:rsidP="00E2005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F10021A" w14:textId="77777777" w:rsidR="00E20054" w:rsidRPr="00E20054" w:rsidRDefault="00E20054" w:rsidP="00E2005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20054" w:rsidRPr="00E20054" w14:paraId="264E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2815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real</w:t>
            </w:r>
          </w:p>
        </w:tc>
        <w:tc>
          <w:tcPr>
            <w:tcW w:w="0" w:type="auto"/>
            <w:vAlign w:val="center"/>
            <w:hideMark/>
          </w:tcPr>
          <w:p w14:paraId="36925185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20054" w:rsidRPr="00E20054" w14:paraId="6918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B0D1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2260EF3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20054" w:rsidRPr="00E20054" w14:paraId="63ACF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5275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Cascata de falhas</w:t>
            </w:r>
          </w:p>
        </w:tc>
        <w:tc>
          <w:tcPr>
            <w:tcW w:w="0" w:type="auto"/>
            <w:vAlign w:val="center"/>
            <w:hideMark/>
          </w:tcPr>
          <w:p w14:paraId="652F53C1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20054" w:rsidRPr="00E20054" w14:paraId="4C296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E874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Transmissão como elemento crítico</w:t>
            </w:r>
          </w:p>
        </w:tc>
        <w:tc>
          <w:tcPr>
            <w:tcW w:w="0" w:type="auto"/>
            <w:vAlign w:val="center"/>
            <w:hideMark/>
          </w:tcPr>
          <w:p w14:paraId="1E12A3FA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20054" w:rsidRPr="00E20054" w14:paraId="3A4B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DB00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Análise temporal do colapso</w:t>
            </w:r>
          </w:p>
        </w:tc>
        <w:tc>
          <w:tcPr>
            <w:tcW w:w="0" w:type="auto"/>
            <w:vAlign w:val="center"/>
            <w:hideMark/>
          </w:tcPr>
          <w:p w14:paraId="4C5D81DD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20054" w:rsidRPr="00E20054" w14:paraId="654A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A00A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empírica (caso real)</w:t>
            </w:r>
          </w:p>
        </w:tc>
        <w:tc>
          <w:tcPr>
            <w:tcW w:w="0" w:type="auto"/>
            <w:vAlign w:val="center"/>
            <w:hideMark/>
          </w:tcPr>
          <w:p w14:paraId="06F44D6B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20054" w:rsidRPr="00E20054" w14:paraId="34FC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0A2A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explícito de resiliência</w:t>
            </w:r>
          </w:p>
        </w:tc>
        <w:tc>
          <w:tcPr>
            <w:tcW w:w="0" w:type="auto"/>
            <w:vAlign w:val="center"/>
            <w:hideMark/>
          </w:tcPr>
          <w:p w14:paraId="2F4CEBBD" w14:textId="77777777" w:rsidR="00E20054" w:rsidRPr="00E20054" w:rsidRDefault="00E20054" w:rsidP="00E200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200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5419909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5098DA3E" w14:textId="77777777" w:rsidR="00E20054" w:rsidRPr="00E20054" w:rsidRDefault="00E20054" w:rsidP="00E200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D83E94">
          <v:rect id="_x0000_i1031" style="width:0;height:1.5pt" o:hralign="center" o:hrstd="t" o:hr="t" fillcolor="#a0a0a0" stroked="f"/>
        </w:pict>
      </w:r>
    </w:p>
    <w:p w14:paraId="12F94C8D" w14:textId="77777777" w:rsidR="00E20054" w:rsidRPr="00E20054" w:rsidRDefault="00E20054" w:rsidP="00E200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200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0FA7067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2B6D538" w14:textId="77777777" w:rsidR="00E20054" w:rsidRPr="00E20054" w:rsidRDefault="00E20054" w:rsidP="00E200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empírica forte;</w:t>
      </w:r>
    </w:p>
    <w:p w14:paraId="5B1E88DB" w14:textId="77777777" w:rsidR="00E20054" w:rsidRPr="00E20054" w:rsidRDefault="00E20054" w:rsidP="00E200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importância de estudar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LT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7511CA" w14:textId="77777777" w:rsidR="00E20054" w:rsidRPr="00E20054" w:rsidRDefault="00E20054" w:rsidP="00E200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limites das abordagens puramente operacionais;</w:t>
      </w:r>
    </w:p>
    <w:p w14:paraId="4F383478" w14:textId="77777777" w:rsidR="00E20054" w:rsidRPr="00E20054" w:rsidRDefault="00E20054" w:rsidP="00E200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motivação do seu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 de resiliência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41C160" w14:textId="77777777" w:rsidR="00E20054" w:rsidRPr="00E20054" w:rsidRDefault="00E20054" w:rsidP="00E200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E200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caso-âncora</w:t>
      </w: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referência real.</w:t>
      </w:r>
    </w:p>
    <w:p w14:paraId="07A45B4B" w14:textId="77777777" w:rsidR="00E20054" w:rsidRPr="00E20054" w:rsidRDefault="00E20054" w:rsidP="00E200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474EF070" w14:textId="77777777" w:rsidR="00E20054" w:rsidRPr="00E20054" w:rsidRDefault="00E20054" w:rsidP="00E200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3A6AC843" w14:textId="77777777" w:rsidR="00E20054" w:rsidRPr="00E20054" w:rsidRDefault="00E20054" w:rsidP="00E200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crítica;</w:t>
      </w:r>
    </w:p>
    <w:p w14:paraId="2D91886F" w14:textId="77777777" w:rsidR="00E20054" w:rsidRPr="00E20054" w:rsidRDefault="00E20054" w:rsidP="00E200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motivação da metodologia;</w:t>
      </w:r>
    </w:p>
    <w:p w14:paraId="432BD8D9" w14:textId="77777777" w:rsidR="00E20054" w:rsidRPr="00E20054" w:rsidRDefault="00E20054" w:rsidP="00E200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200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resultados.</w:t>
      </w:r>
    </w:p>
    <w:p w14:paraId="7AA672EE" w14:textId="77777777" w:rsidR="003B259F" w:rsidRPr="003B259F" w:rsidRDefault="003B259F">
      <w:pPr>
        <w:rPr>
          <w:lang w:val="en-US"/>
        </w:rPr>
      </w:pPr>
    </w:p>
    <w:sectPr w:rsidR="003B259F" w:rsidRPr="003B259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696"/>
    <w:multiLevelType w:val="multilevel"/>
    <w:tmpl w:val="6A0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335D0"/>
    <w:multiLevelType w:val="multilevel"/>
    <w:tmpl w:val="448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F534D"/>
    <w:multiLevelType w:val="multilevel"/>
    <w:tmpl w:val="0D3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F0E0E"/>
    <w:multiLevelType w:val="multilevel"/>
    <w:tmpl w:val="B7C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D73E3"/>
    <w:multiLevelType w:val="multilevel"/>
    <w:tmpl w:val="2B2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5374C"/>
    <w:multiLevelType w:val="multilevel"/>
    <w:tmpl w:val="529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A26C5"/>
    <w:multiLevelType w:val="multilevel"/>
    <w:tmpl w:val="243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02475">
    <w:abstractNumId w:val="6"/>
  </w:num>
  <w:num w:numId="2" w16cid:durableId="139882654">
    <w:abstractNumId w:val="4"/>
  </w:num>
  <w:num w:numId="3" w16cid:durableId="645403016">
    <w:abstractNumId w:val="1"/>
  </w:num>
  <w:num w:numId="4" w16cid:durableId="184710157">
    <w:abstractNumId w:val="2"/>
  </w:num>
  <w:num w:numId="5" w16cid:durableId="254753173">
    <w:abstractNumId w:val="5"/>
  </w:num>
  <w:num w:numId="6" w16cid:durableId="1603106199">
    <w:abstractNumId w:val="3"/>
  </w:num>
  <w:num w:numId="7" w16cid:durableId="200064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9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B259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0054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D316"/>
  <w15:chartTrackingRefBased/>
  <w15:docId w15:val="{E1F01967-D645-4CD9-9719-A3CA86D2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9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9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9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9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9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B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9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B25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005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20054"/>
    <w:rPr>
      <w:b/>
      <w:bCs/>
    </w:rPr>
  </w:style>
  <w:style w:type="character" w:styleId="Emphasis">
    <w:name w:val="Emphasis"/>
    <w:basedOn w:val="DefaultParagraphFont"/>
    <w:uiPriority w:val="20"/>
    <w:qFormat/>
    <w:rsid w:val="00E200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522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2026-01-02T00:06:00Z</dcterms:created>
  <dcterms:modified xsi:type="dcterms:W3CDTF">2026-01-02T00:09:00Z</dcterms:modified>
</cp:coreProperties>
</file>