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1418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Título e Autores</w:t>
      </w:r>
    </w:p>
    <w:p w14:paraId="67EFA672" w14:textId="77777777" w:rsidR="00EE1BEC" w:rsidRDefault="00EE1BEC" w:rsidP="00EE1BEC">
      <w:proofErr w:type="spellStart"/>
      <w:r>
        <w:t>Título</w:t>
      </w:r>
      <w:proofErr w:type="spellEnd"/>
      <w:r>
        <w:t>: Fragility curves for power transmission towers in Odisha, India, based on observed damage during 2019 Cyclone Fani</w:t>
      </w:r>
    </w:p>
    <w:p w14:paraId="503F2A19" w14:textId="77777777" w:rsidR="00EE1BEC" w:rsidRDefault="00EE1BEC" w:rsidP="00EE1BEC"/>
    <w:p w14:paraId="6FD1596C" w14:textId="77777777" w:rsidR="00EE1BEC" w:rsidRDefault="00EE1BEC" w:rsidP="00EE1BEC">
      <w:pPr>
        <w:rPr>
          <w:lang w:val="pt-BR"/>
        </w:rPr>
      </w:pPr>
      <w:r w:rsidRPr="00EE1BEC">
        <w:rPr>
          <w:lang w:val="pt-BR"/>
        </w:rPr>
        <w:t xml:space="preserve">Autores: </w:t>
      </w:r>
      <w:proofErr w:type="spellStart"/>
      <w:r w:rsidRPr="00EE1BEC">
        <w:rPr>
          <w:lang w:val="pt-BR"/>
        </w:rPr>
        <w:t>Surender</w:t>
      </w:r>
      <w:proofErr w:type="spellEnd"/>
      <w:r w:rsidRPr="00EE1BEC">
        <w:rPr>
          <w:lang w:val="pt-BR"/>
        </w:rPr>
        <w:t xml:space="preserve"> V. Raja, </w:t>
      </w:r>
      <w:proofErr w:type="spellStart"/>
      <w:r w:rsidRPr="00EE1BEC">
        <w:rPr>
          <w:lang w:val="pt-BR"/>
        </w:rPr>
        <w:t>Manish</w:t>
      </w:r>
      <w:proofErr w:type="spellEnd"/>
      <w:r w:rsidRPr="00EE1BEC">
        <w:rPr>
          <w:lang w:val="pt-BR"/>
        </w:rPr>
        <w:t xml:space="preserve"> Kumar*, </w:t>
      </w:r>
      <w:proofErr w:type="spellStart"/>
      <w:r w:rsidRPr="00EE1BEC">
        <w:rPr>
          <w:lang w:val="pt-BR"/>
        </w:rPr>
        <w:t>Udit</w:t>
      </w:r>
      <w:proofErr w:type="spellEnd"/>
      <w:r w:rsidRPr="00EE1BEC">
        <w:rPr>
          <w:lang w:val="pt-BR"/>
        </w:rPr>
        <w:t xml:space="preserve"> </w:t>
      </w:r>
      <w:proofErr w:type="spellStart"/>
      <w:r w:rsidRPr="00EE1BEC">
        <w:rPr>
          <w:lang w:val="pt-BR"/>
        </w:rPr>
        <w:t>Bhatia</w:t>
      </w:r>
      <w:proofErr w:type="spellEnd"/>
      <w:r w:rsidRPr="00EE1BEC">
        <w:rPr>
          <w:lang w:val="pt-BR"/>
        </w:rPr>
        <w:t xml:space="preserve"> – Indian </w:t>
      </w:r>
      <w:proofErr w:type="spellStart"/>
      <w:r w:rsidRPr="00EE1BEC">
        <w:rPr>
          <w:lang w:val="pt-BR"/>
        </w:rPr>
        <w:t>Institute</w:t>
      </w:r>
      <w:proofErr w:type="spellEnd"/>
      <w:r w:rsidRPr="00EE1BEC">
        <w:rPr>
          <w:lang w:val="pt-BR"/>
        </w:rPr>
        <w:t xml:space="preserve"> </w:t>
      </w:r>
      <w:proofErr w:type="spellStart"/>
      <w:r w:rsidRPr="00EE1BEC">
        <w:rPr>
          <w:lang w:val="pt-BR"/>
        </w:rPr>
        <w:t>of</w:t>
      </w:r>
      <w:proofErr w:type="spellEnd"/>
      <w:r w:rsidRPr="00EE1BEC">
        <w:rPr>
          <w:lang w:val="pt-BR"/>
        </w:rPr>
        <w:t xml:space="preserve"> Technology </w:t>
      </w:r>
      <w:proofErr w:type="spellStart"/>
      <w:r w:rsidRPr="00EE1BEC">
        <w:rPr>
          <w:lang w:val="pt-BR"/>
        </w:rPr>
        <w:t>Gandhinagar</w:t>
      </w:r>
      <w:proofErr w:type="spellEnd"/>
      <w:r w:rsidRPr="00EE1BEC">
        <w:rPr>
          <w:lang w:val="pt-BR"/>
        </w:rPr>
        <w:t>, Índia</w:t>
      </w:r>
    </w:p>
    <w:p w14:paraId="6321A1B8" w14:textId="77777777" w:rsidR="00EE1BEC" w:rsidRPr="00EE1BEC" w:rsidRDefault="00EE1BEC" w:rsidP="00EE1BEC">
      <w:pPr>
        <w:rPr>
          <w:lang w:val="pt-BR"/>
        </w:rPr>
      </w:pPr>
    </w:p>
    <w:p w14:paraId="4D6087A8" w14:textId="6FBA1B42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Resumo do Abstract</w:t>
      </w:r>
    </w:p>
    <w:p w14:paraId="0B4128F4" w14:textId="77777777" w:rsidR="00EE1BEC" w:rsidRDefault="00EE1BEC" w:rsidP="00EE1BEC">
      <w:pPr>
        <w:rPr>
          <w:lang w:val="pt-BR"/>
        </w:rPr>
      </w:pPr>
      <w:r w:rsidRPr="00EE1BEC">
        <w:rPr>
          <w:lang w:val="pt-BR"/>
        </w:rPr>
        <w:t xml:space="preserve">Este estudo apresenta o desenvolvimento de curvas de fragilidade para torres de transmissão de energia elétrica de alta tensão no estado de </w:t>
      </w:r>
      <w:proofErr w:type="spellStart"/>
      <w:r w:rsidRPr="00EE1BEC">
        <w:rPr>
          <w:lang w:val="pt-BR"/>
        </w:rPr>
        <w:t>Odisha</w:t>
      </w:r>
      <w:proofErr w:type="spellEnd"/>
      <w:r w:rsidRPr="00EE1BEC">
        <w:rPr>
          <w:lang w:val="pt-BR"/>
        </w:rPr>
        <w:t xml:space="preserve">, Índia, com base nos danos observados durante o ciclone Fani em 2019. Foram considerados dois estados de dano: colapso e perda de funcionalidade. As curvas foram desenvolvidas usando o método </w:t>
      </w:r>
      <w:proofErr w:type="spellStart"/>
      <w:r w:rsidRPr="00EE1BEC">
        <w:rPr>
          <w:lang w:val="pt-BR"/>
        </w:rPr>
        <w:t>Bounding</w:t>
      </w:r>
      <w:proofErr w:type="spellEnd"/>
      <w:r w:rsidRPr="00EE1BEC">
        <w:rPr>
          <w:lang w:val="pt-BR"/>
        </w:rPr>
        <w:t xml:space="preserve"> EDP e incorporam incertezas aleatórias e epistêmicas, especialmente associadas à estimativa da velocidade do vento e ao tamanho amostral finito. As curvas resultantes se alinham bem com aquelas desenvolvidas em outras partes do mundo, apesar de limitações como a ausência de propriedades estruturais detalhadas das torres.</w:t>
      </w:r>
    </w:p>
    <w:p w14:paraId="1B1FCAE9" w14:textId="77777777" w:rsidR="00EE1BEC" w:rsidRPr="00EE1BEC" w:rsidRDefault="00EE1BEC" w:rsidP="00EE1BEC">
      <w:pPr>
        <w:rPr>
          <w:lang w:val="pt-BR"/>
        </w:rPr>
      </w:pPr>
    </w:p>
    <w:p w14:paraId="5DCCC1DA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1. Introdução</w:t>
      </w:r>
    </w:p>
    <w:p w14:paraId="13359E4A" w14:textId="77777777" w:rsidR="00EE1BEC" w:rsidRDefault="00EE1BEC" w:rsidP="00EE1BEC">
      <w:pPr>
        <w:rPr>
          <w:lang w:val="pt-BR"/>
        </w:rPr>
      </w:pPr>
      <w:r w:rsidRPr="00EE1BEC">
        <w:rPr>
          <w:lang w:val="pt-BR"/>
        </w:rPr>
        <w:t xml:space="preserve">O artigo contextualiza a importância das infraestruturas críticas como redes de transmissão frente a desastres naturais. Aponta que </w:t>
      </w:r>
      <w:proofErr w:type="spellStart"/>
      <w:r w:rsidRPr="00EE1BEC">
        <w:rPr>
          <w:lang w:val="pt-BR"/>
        </w:rPr>
        <w:t>fragility</w:t>
      </w:r>
      <w:proofErr w:type="spellEnd"/>
      <w:r w:rsidRPr="00EE1BEC">
        <w:rPr>
          <w:lang w:val="pt-BR"/>
        </w:rPr>
        <w:t xml:space="preserve"> curves já foram desenvolvidas para outras regiões, mas normalmente sem considerar incertezas epistêmicas. O estudo reforça a relevância de se obter curvas regionais, especialmente em áreas propensas a ciclones como </w:t>
      </w:r>
      <w:proofErr w:type="spellStart"/>
      <w:r w:rsidRPr="00EE1BEC">
        <w:rPr>
          <w:lang w:val="pt-BR"/>
        </w:rPr>
        <w:t>Odisha</w:t>
      </w:r>
      <w:proofErr w:type="spellEnd"/>
      <w:r w:rsidRPr="00EE1BEC">
        <w:rPr>
          <w:lang w:val="pt-BR"/>
        </w:rPr>
        <w:t>.</w:t>
      </w:r>
    </w:p>
    <w:p w14:paraId="08E0804E" w14:textId="77777777" w:rsidR="00EE1BEC" w:rsidRPr="00EE1BEC" w:rsidRDefault="00EE1BEC" w:rsidP="00EE1BEC">
      <w:pPr>
        <w:rPr>
          <w:lang w:val="pt-BR"/>
        </w:rPr>
      </w:pPr>
    </w:p>
    <w:p w14:paraId="0B064B69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2. Dados de Danos no Ciclone Fani</w:t>
      </w:r>
    </w:p>
    <w:p w14:paraId="0B87BC69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Com base em dados obtidos junto à OPTCL via Lei de Acesso à Informação (RTI), foram identificadas 87 torres colapsadas e 41 com danos parciais (totalizando 128 com perda de funcionalidade). As torres estavam localizadas em diversos corredores de transmissão de 132 e 220 kV. As alturas variaram entre 21 m e 50 m.</w:t>
      </w:r>
    </w:p>
    <w:p w14:paraId="7153C3A3" w14:textId="42C49255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 xml:space="preserve">Fig. 1: Foto de uma torre colapsada em </w:t>
      </w:r>
      <w:proofErr w:type="spellStart"/>
      <w:r w:rsidRPr="00EE1BEC">
        <w:rPr>
          <w:lang w:val="pt-BR"/>
        </w:rPr>
        <w:t>Puri</w:t>
      </w:r>
      <w:proofErr w:type="spellEnd"/>
      <w:r w:rsidRPr="00EE1BEC">
        <w:rPr>
          <w:lang w:val="pt-BR"/>
        </w:rPr>
        <w:t xml:space="preserve"> (crédito: The Hindu).</w:t>
      </w:r>
    </w:p>
    <w:p w14:paraId="35852699" w14:textId="472AE336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2: Histogramas com alturas de torres danificadas (segregadas por tensão nominal: 132 e 220 kV).</w:t>
      </w:r>
    </w:p>
    <w:p w14:paraId="50268217" w14:textId="70E8ED2F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 xml:space="preserve">Fig. 3: Mapa com a localização de todas as 41.814 torres em </w:t>
      </w:r>
      <w:proofErr w:type="spellStart"/>
      <w:r w:rsidRPr="00EE1BEC">
        <w:rPr>
          <w:lang w:val="pt-BR"/>
        </w:rPr>
        <w:t>Odisha</w:t>
      </w:r>
      <w:proofErr w:type="spellEnd"/>
      <w:r w:rsidRPr="00EE1BEC">
        <w:rPr>
          <w:lang w:val="pt-BR"/>
        </w:rPr>
        <w:t xml:space="preserve"> (fonte: </w:t>
      </w:r>
      <w:proofErr w:type="spellStart"/>
      <w:r w:rsidRPr="00EE1BEC">
        <w:rPr>
          <w:lang w:val="pt-BR"/>
        </w:rPr>
        <w:t>OpenStreetMap</w:t>
      </w:r>
      <w:proofErr w:type="spellEnd"/>
      <w:r w:rsidRPr="00EE1BEC">
        <w:rPr>
          <w:lang w:val="pt-BR"/>
        </w:rPr>
        <w:t>).</w:t>
      </w:r>
    </w:p>
    <w:p w14:paraId="70598345" w14:textId="67C78B4F" w:rsid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4: Mapas com torres colapsadas/parcialmente danificadas + trajetória do ciclone (dados do IMD).</w:t>
      </w:r>
    </w:p>
    <w:p w14:paraId="241C3DEA" w14:textId="77777777" w:rsidR="00EE1BEC" w:rsidRPr="00EE1BEC" w:rsidRDefault="00EE1BEC" w:rsidP="00EE1BEC">
      <w:pPr>
        <w:rPr>
          <w:lang w:val="pt-BR"/>
        </w:rPr>
      </w:pPr>
    </w:p>
    <w:p w14:paraId="350DE2E1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3. Metodologia</w:t>
      </w:r>
    </w:p>
    <w:p w14:paraId="70C5B278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 xml:space="preserve">Foram utilizadas velocidades de rajada de vento de 3 segundos a 10 m do solo como medida de intensidade (IM). As curvas foram construídas por </w:t>
      </w:r>
      <w:proofErr w:type="spellStart"/>
      <w:r w:rsidRPr="00EE1BEC">
        <w:rPr>
          <w:lang w:val="pt-BR"/>
        </w:rPr>
        <w:t>bins</w:t>
      </w:r>
      <w:proofErr w:type="spellEnd"/>
      <w:r w:rsidRPr="00EE1BEC">
        <w:rPr>
          <w:lang w:val="pt-BR"/>
        </w:rPr>
        <w:t xml:space="preserve"> de vento aplicando o método </w:t>
      </w:r>
      <w:proofErr w:type="spellStart"/>
      <w:r w:rsidRPr="00EE1BEC">
        <w:rPr>
          <w:lang w:val="pt-BR"/>
        </w:rPr>
        <w:t>Bounding</w:t>
      </w:r>
      <w:proofErr w:type="spellEnd"/>
      <w:r w:rsidRPr="00EE1BEC">
        <w:rPr>
          <w:lang w:val="pt-BR"/>
        </w:rPr>
        <w:t xml:space="preserve"> EDP. Duas curvas foram desenvolvidas: uma para colapso e outra para perda de funcionalidade. Parâmetros da função </w:t>
      </w:r>
      <w:proofErr w:type="spellStart"/>
      <w:r w:rsidRPr="00EE1BEC">
        <w:rPr>
          <w:lang w:val="pt-BR"/>
        </w:rPr>
        <w:t>lognormal</w:t>
      </w:r>
      <w:proofErr w:type="spellEnd"/>
      <w:r w:rsidRPr="00EE1BEC">
        <w:rPr>
          <w:lang w:val="pt-BR"/>
        </w:rPr>
        <w:t xml:space="preserve"> foram obtidos por mínimos quadrados.</w:t>
      </w:r>
    </w:p>
    <w:p w14:paraId="6B5C928A" w14:textId="45C284B3" w:rsid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lastRenderedPageBreak/>
        <w:t xml:space="preserve">- </w:t>
      </w:r>
      <w:r w:rsidRPr="00EE1BEC">
        <w:rPr>
          <w:lang w:val="pt-BR"/>
        </w:rPr>
        <w:t xml:space="preserve">Fig. 5: Mediana e desvio padrão logarítmico em função do número de </w:t>
      </w:r>
      <w:proofErr w:type="spellStart"/>
      <w:r w:rsidRPr="00EE1BEC">
        <w:rPr>
          <w:lang w:val="pt-BR"/>
        </w:rPr>
        <w:t>bins</w:t>
      </w:r>
      <w:proofErr w:type="spellEnd"/>
      <w:r w:rsidRPr="00EE1BEC">
        <w:rPr>
          <w:lang w:val="pt-BR"/>
        </w:rPr>
        <w:t xml:space="preserve"> (n = 30 foi escolhido).</w:t>
      </w:r>
    </w:p>
    <w:p w14:paraId="39A9322F" w14:textId="77777777" w:rsidR="00EE1BEC" w:rsidRPr="00EE1BEC" w:rsidRDefault="00EE1BEC" w:rsidP="00EE1BEC">
      <w:pPr>
        <w:rPr>
          <w:lang w:val="pt-BR"/>
        </w:rPr>
      </w:pPr>
    </w:p>
    <w:p w14:paraId="596E962B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4. Incertezas Consideradas</w:t>
      </w:r>
    </w:p>
    <w:p w14:paraId="0283C7F7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Duas fontes de incerteza epistêmica foram consideradas: (1) estimativa da intensidade do vento e (2) tamanho amostral. Para a primeira, usaram-se 3 modelos de perfil radial de vento (WSE, WDE e HOL), com fatores de conversão de vento (CF) e fator de rajada (GF). Amostragem por hipercubo latino (LHS) foi utilizada com 1.000 conjuntos.</w:t>
      </w:r>
    </w:p>
    <w:p w14:paraId="149B0821" w14:textId="7CF54788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6: Conversão entre vento de 3 min e de 3 s usando GF = 1.58 ± 0.1.</w:t>
      </w:r>
    </w:p>
    <w:p w14:paraId="1A9392B7" w14:textId="0AFFAA2E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7: Perfis de vento estimados pelos três modelos em dois momentos do ciclone.</w:t>
      </w:r>
    </w:p>
    <w:p w14:paraId="2A702DDB" w14:textId="4114EA5B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8: Perfil típico de vento no olho do ciclone.</w:t>
      </w:r>
    </w:p>
    <w:p w14:paraId="2C9BE6F4" w14:textId="21CCA7A9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9: Histograma e função de distribuição acumulada empírica da velocidade do vento estimada.</w:t>
      </w:r>
    </w:p>
    <w:p w14:paraId="73F7E18C" w14:textId="5138E0E2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10: Mediana e intervalo de confiança (68%) da estimativa de vento nas torres.</w:t>
      </w:r>
    </w:p>
    <w:p w14:paraId="0794BFEF" w14:textId="2DCDDEF1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11: Localização das linhas de 132, 220 e 400 kV em relação ao ciclone.</w:t>
      </w:r>
    </w:p>
    <w:p w14:paraId="7093E1E7" w14:textId="235D9F12" w:rsid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12: Diagrama do processo de combinação das incertezas de vento + amostra.</w:t>
      </w:r>
    </w:p>
    <w:p w14:paraId="403AA742" w14:textId="77777777" w:rsidR="00EE1BEC" w:rsidRPr="00EE1BEC" w:rsidRDefault="00EE1BEC" w:rsidP="00EE1BEC">
      <w:pPr>
        <w:rPr>
          <w:lang w:val="pt-BR"/>
        </w:rPr>
      </w:pPr>
    </w:p>
    <w:p w14:paraId="744E4FF4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5. Resultados e Discussão</w:t>
      </w:r>
    </w:p>
    <w:p w14:paraId="7B5E395A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Foram obtidas curvas de fragilidade com e sem incertezas. A comparação das curvas indica que a incerteza na estimativa da intensidade (vento) domina a variação nas curvas. Para a funcionalidade: mediana ≈ 280 km/h; para colapso: ≈ 292 km/h. Exceções ocorrem a baixas intensidades onde colapso supera perda de funcionalidade — atribuído ao desvio padrão logarítmico maior.</w:t>
      </w:r>
    </w:p>
    <w:p w14:paraId="68CB1952" w14:textId="12CF7425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Fig. 13 (</w:t>
      </w:r>
      <w:proofErr w:type="spellStart"/>
      <w:r w:rsidRPr="00EE1BEC">
        <w:rPr>
          <w:lang w:val="pt-BR"/>
        </w:rPr>
        <w:t>a-f</w:t>
      </w:r>
      <w:proofErr w:type="spellEnd"/>
      <w:r w:rsidRPr="00EE1BEC">
        <w:rPr>
          <w:lang w:val="pt-BR"/>
        </w:rPr>
        <w:t>): Conjuntos de curvas para ambos estados de dano e três cenários de incerteza (IM, FS, ambos).</w:t>
      </w:r>
    </w:p>
    <w:p w14:paraId="529740B8" w14:textId="5D0521DB" w:rsidR="00EE1BEC" w:rsidRPr="00EE1BEC" w:rsidRDefault="00EE1BEC" w:rsidP="00EE1BEC">
      <w:pPr>
        <w:rPr>
          <w:lang w:val="pt-BR"/>
        </w:rPr>
      </w:pPr>
      <w:r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 xml:space="preserve">Tabela 1: Parâmetros das curvas para percentis 2.5, 16, 50, 84 e 97.5 — para </w:t>
      </w:r>
      <w:proofErr w:type="gramStart"/>
      <w:r w:rsidRPr="00EE1BEC">
        <w:rPr>
          <w:lang w:val="pt-BR"/>
        </w:rPr>
        <w:t>ambas funções</w:t>
      </w:r>
      <w:proofErr w:type="gramEnd"/>
      <w:r w:rsidRPr="00EE1BEC">
        <w:rPr>
          <w:lang w:val="pt-BR"/>
        </w:rPr>
        <w:t>.</w:t>
      </w:r>
    </w:p>
    <w:p w14:paraId="0F9ABC32" w14:textId="0FEBE98A" w:rsidR="00EE1BEC" w:rsidRP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 xml:space="preserve">Fig. 14: Comparação com outras curvas da literatura (Quanta, </w:t>
      </w:r>
      <w:proofErr w:type="spellStart"/>
      <w:r w:rsidRPr="00EE1BEC">
        <w:rPr>
          <w:lang w:val="pt-BR"/>
        </w:rPr>
        <w:t>Panteli</w:t>
      </w:r>
      <w:proofErr w:type="spellEnd"/>
      <w:r w:rsidRPr="00EE1BEC">
        <w:rPr>
          <w:lang w:val="pt-BR"/>
        </w:rPr>
        <w:t>, Fu).</w:t>
      </w:r>
    </w:p>
    <w:p w14:paraId="3E328C7A" w14:textId="65FF1E03" w:rsidR="00EE1BEC" w:rsidRDefault="00EE1BEC" w:rsidP="00EE1BEC">
      <w:pPr>
        <w:rPr>
          <w:lang w:val="pt-BR"/>
        </w:rPr>
      </w:pPr>
      <w:r w:rsidRPr="00EE1BEC">
        <w:rPr>
          <w:rFonts w:ascii="Segoe UI Emoji" w:hAnsi="Segoe UI Emoji" w:cs="Segoe UI Emoji"/>
          <w:lang w:val="pt-BR"/>
        </w:rPr>
        <w:t xml:space="preserve">- </w:t>
      </w:r>
      <w:r w:rsidRPr="00EE1BEC">
        <w:rPr>
          <w:lang w:val="pt-BR"/>
        </w:rPr>
        <w:t>Tabela 2: Mediana e desvio das curvas comparadas.</w:t>
      </w:r>
    </w:p>
    <w:p w14:paraId="3A3A3531" w14:textId="77777777" w:rsidR="00EE1BEC" w:rsidRPr="00EE1BEC" w:rsidRDefault="00EE1BEC" w:rsidP="00EE1BEC">
      <w:pPr>
        <w:rPr>
          <w:lang w:val="pt-BR"/>
        </w:rPr>
      </w:pPr>
    </w:p>
    <w:p w14:paraId="3443F4A5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6. Conclusão</w:t>
      </w:r>
    </w:p>
    <w:p w14:paraId="2E0D2CFE" w14:textId="77777777" w:rsidR="00EE1BEC" w:rsidRPr="00EE1BEC" w:rsidRDefault="00EE1BEC" w:rsidP="00EE1BEC">
      <w:pPr>
        <w:rPr>
          <w:lang w:val="pt-BR"/>
        </w:rPr>
      </w:pPr>
      <w:r w:rsidRPr="00EE1BEC">
        <w:rPr>
          <w:lang w:val="pt-BR"/>
        </w:rPr>
        <w:t>Curvas de fragilidade regionais para torres de transmissão foram desenvolvidas considerando incertezas epistêmicas e aleatórias. Mesmo com limitações (</w:t>
      </w:r>
      <w:proofErr w:type="spellStart"/>
      <w:r w:rsidRPr="00EE1BEC">
        <w:rPr>
          <w:lang w:val="pt-BR"/>
        </w:rPr>
        <w:t>ex</w:t>
      </w:r>
      <w:proofErr w:type="spellEnd"/>
      <w:r w:rsidRPr="00EE1BEC">
        <w:rPr>
          <w:lang w:val="pt-BR"/>
        </w:rPr>
        <w:t>: uso de um único evento e dados incompletos), as curvas servem como referência para planejar estratégias de reforço e avaliação de risco. Recomenda-se o uso dessas curvas em outras regiões costeiras do subcontinente indiano.</w:t>
      </w:r>
    </w:p>
    <w:sectPr w:rsidR="00EE1BEC" w:rsidRPr="00EE1BEC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EC"/>
    <w:rsid w:val="000131F2"/>
    <w:rsid w:val="0007293B"/>
    <w:rsid w:val="0008424C"/>
    <w:rsid w:val="00096FFB"/>
    <w:rsid w:val="000C625D"/>
    <w:rsid w:val="000D45BD"/>
    <w:rsid w:val="00172112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7E69F0"/>
    <w:rsid w:val="008226B2"/>
    <w:rsid w:val="008C0D5E"/>
    <w:rsid w:val="00A04542"/>
    <w:rsid w:val="00A74270"/>
    <w:rsid w:val="00AA4524"/>
    <w:rsid w:val="00AC5231"/>
    <w:rsid w:val="00B7708D"/>
    <w:rsid w:val="00B811CD"/>
    <w:rsid w:val="00BD2C19"/>
    <w:rsid w:val="00BF51C6"/>
    <w:rsid w:val="00C03A12"/>
    <w:rsid w:val="00CE4C5C"/>
    <w:rsid w:val="00D25A09"/>
    <w:rsid w:val="00D63D8E"/>
    <w:rsid w:val="00EE1BEC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CA87"/>
  <w15:chartTrackingRefBased/>
  <w15:docId w15:val="{4A69CF60-B6A2-4374-B2C3-3DF7311B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B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B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B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B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B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BEC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BEC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BEC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BEC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BEC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EE1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1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BEC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EE1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708</Words>
  <Characters>3827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2025-05-05T23:08:00Z</dcterms:created>
  <dcterms:modified xsi:type="dcterms:W3CDTF">2025-05-05T23:10:00Z</dcterms:modified>
</cp:coreProperties>
</file>