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F712D9" w14:textId="60B03B6C" w:rsidR="004A2627" w:rsidRDefault="004A2627" w:rsidP="004A2627">
      <w:proofErr w:type="spellStart"/>
      <w:r>
        <w:t>Título</w:t>
      </w:r>
      <w:proofErr w:type="spellEnd"/>
      <w:r>
        <w:t>: Metrics and Enhancement Strategies for Grid Resilience and Reliability During Natural Disasters</w:t>
      </w:r>
    </w:p>
    <w:p w14:paraId="500FF4DD" w14:textId="77777777" w:rsidR="004A2627" w:rsidRDefault="004A2627" w:rsidP="004A2627"/>
    <w:p w14:paraId="229B0140" w14:textId="77777777" w:rsidR="004A2627" w:rsidRPr="004A2627" w:rsidRDefault="004A2627" w:rsidP="004A2627">
      <w:pPr>
        <w:rPr>
          <w:lang w:val="pt-BR"/>
        </w:rPr>
      </w:pPr>
      <w:r w:rsidRPr="004A2627">
        <w:rPr>
          <w:lang w:val="pt-BR"/>
        </w:rPr>
        <w:t>Autores e Afiliações</w:t>
      </w:r>
    </w:p>
    <w:p w14:paraId="2F8BB5D0" w14:textId="77777777" w:rsidR="004A2627" w:rsidRPr="004A2627" w:rsidRDefault="004A2627" w:rsidP="004A2627">
      <w:pPr>
        <w:rPr>
          <w:lang w:val="pt-BR"/>
        </w:rPr>
      </w:pPr>
      <w:bookmarkStart w:id="0" w:name="_Hlk197867377"/>
      <w:r w:rsidRPr="004A2627">
        <w:rPr>
          <w:lang w:val="pt-BR"/>
        </w:rPr>
        <w:t xml:space="preserve">Ravi </w:t>
      </w:r>
      <w:proofErr w:type="spellStart"/>
      <w:r w:rsidRPr="004A2627">
        <w:rPr>
          <w:lang w:val="pt-BR"/>
        </w:rPr>
        <w:t>Gorur</w:t>
      </w:r>
      <w:proofErr w:type="spellEnd"/>
      <w:r w:rsidRPr="004A2627">
        <w:rPr>
          <w:lang w:val="pt-BR"/>
        </w:rPr>
        <w:t xml:space="preserve">, Vishnu M. B., </w:t>
      </w:r>
      <w:proofErr w:type="spellStart"/>
      <w:r w:rsidRPr="004A2627">
        <w:rPr>
          <w:lang w:val="pt-BR"/>
        </w:rPr>
        <w:t>Rangan</w:t>
      </w:r>
      <w:proofErr w:type="spellEnd"/>
      <w:r w:rsidRPr="004A2627">
        <w:rPr>
          <w:lang w:val="pt-BR"/>
        </w:rPr>
        <w:t xml:space="preserve"> </w:t>
      </w:r>
      <w:proofErr w:type="spellStart"/>
      <w:r w:rsidRPr="004A2627">
        <w:rPr>
          <w:lang w:val="pt-BR"/>
        </w:rPr>
        <w:t>Banerjee</w:t>
      </w:r>
      <w:proofErr w:type="spellEnd"/>
      <w:r w:rsidRPr="004A2627">
        <w:rPr>
          <w:lang w:val="pt-BR"/>
        </w:rPr>
        <w:t xml:space="preserve">, e S. A. </w:t>
      </w:r>
      <w:proofErr w:type="spellStart"/>
      <w:r w:rsidRPr="004A2627">
        <w:rPr>
          <w:lang w:val="pt-BR"/>
        </w:rPr>
        <w:t>Khaparde</w:t>
      </w:r>
      <w:proofErr w:type="spellEnd"/>
    </w:p>
    <w:bookmarkEnd w:id="0"/>
    <w:p w14:paraId="1DCAC3EE" w14:textId="77777777" w:rsidR="004A2627" w:rsidRDefault="004A2627" w:rsidP="004A2627">
      <w:r>
        <w:t xml:space="preserve">Indian Institute of Technology Bombay, Mumbai, </w:t>
      </w:r>
      <w:proofErr w:type="spellStart"/>
      <w:r>
        <w:t>Índia</w:t>
      </w:r>
      <w:proofErr w:type="spellEnd"/>
    </w:p>
    <w:p w14:paraId="00B4A178" w14:textId="77777777" w:rsidR="004A2627" w:rsidRDefault="004A2627" w:rsidP="004A2627"/>
    <w:p w14:paraId="06CB535D" w14:textId="7B8C6E0B" w:rsidR="004A2627" w:rsidRPr="004A2627" w:rsidRDefault="004A2627" w:rsidP="004A2627">
      <w:pPr>
        <w:rPr>
          <w:lang w:val="pt-BR"/>
        </w:rPr>
      </w:pPr>
      <w:r w:rsidRPr="004A2627">
        <w:rPr>
          <w:lang w:val="pt-BR"/>
        </w:rPr>
        <w:t>Resumo do Abstract</w:t>
      </w:r>
    </w:p>
    <w:p w14:paraId="4149B85A" w14:textId="77777777" w:rsidR="004A2627" w:rsidRDefault="004A2627" w:rsidP="004A2627">
      <w:pPr>
        <w:rPr>
          <w:lang w:val="pt-BR"/>
        </w:rPr>
      </w:pPr>
      <w:r w:rsidRPr="004A2627">
        <w:rPr>
          <w:lang w:val="pt-BR"/>
        </w:rPr>
        <w:t>Este artigo propõe uma revisão crítica das métricas utilizadas para avaliar a resiliência e a confiabilidade de sistemas elétricos durante desastres naturais, além de apresentar estratégias de reforço em diferentes níveis da rede. O trabalho identifica lacunas entre métricas de confiabilidade tradicionais (como SAIDI e SAIFI) e as exigências de avaliação de resiliência sob eventos extremos. Com foco especial em redes de distribuição, o artigo propõe um framework híbrido com indicadores técnicos, operacionais e espaciais. São também discutidas propostas de planejamento e operação para aumentar a robustez e capacidade de recuperação de redes frente a ciclones, inundações e terremotos.</w:t>
      </w:r>
    </w:p>
    <w:p w14:paraId="5BDF49B8" w14:textId="77777777" w:rsidR="004A2627" w:rsidRPr="004A2627" w:rsidRDefault="004A2627" w:rsidP="004A2627">
      <w:pPr>
        <w:rPr>
          <w:lang w:val="pt-BR"/>
        </w:rPr>
      </w:pPr>
    </w:p>
    <w:p w14:paraId="44323CEC" w14:textId="57032E88" w:rsidR="004A2627" w:rsidRPr="004A2627" w:rsidRDefault="004A2627" w:rsidP="004A2627">
      <w:pPr>
        <w:rPr>
          <w:lang w:val="pt-BR"/>
        </w:rPr>
      </w:pPr>
      <w:r w:rsidRPr="004A2627">
        <w:rPr>
          <w:lang w:val="pt-BR"/>
        </w:rPr>
        <w:t>Introdução</w:t>
      </w:r>
    </w:p>
    <w:p w14:paraId="5657F69C" w14:textId="77777777" w:rsidR="004A2627" w:rsidRDefault="004A2627" w:rsidP="004A2627">
      <w:pPr>
        <w:rPr>
          <w:lang w:val="pt-BR"/>
        </w:rPr>
      </w:pPr>
      <w:r w:rsidRPr="004A2627">
        <w:rPr>
          <w:lang w:val="pt-BR"/>
        </w:rPr>
        <w:t>A crescente frequência e intensidade de desastres naturais evidencia a necessidade de métodos mais sofisticados para avaliar e fortalecer sistemas de energia elétrica. Os autores argumentam que métricas tradicionais de confiabilidade não capturam a natureza dinâmica nem os efeitos encadeados de eventos catastróficos. A distinção entre confiabilidade (condições normais) e resiliência (eventos extremos) é destacada como crítica para formulação de políticas públicas e estratégias operacionais.</w:t>
      </w:r>
    </w:p>
    <w:p w14:paraId="4C9E52BE" w14:textId="77777777" w:rsidR="004A2627" w:rsidRDefault="004A2627" w:rsidP="004A2627">
      <w:pPr>
        <w:rPr>
          <w:lang w:val="pt-BR"/>
        </w:rPr>
      </w:pPr>
    </w:p>
    <w:p w14:paraId="52972E94" w14:textId="245E040E" w:rsidR="004A2627" w:rsidRDefault="004A2627" w:rsidP="004A2627">
      <w:pPr>
        <w:rPr>
          <w:lang w:val="pt-BR"/>
        </w:rPr>
      </w:pPr>
      <w:r>
        <w:rPr>
          <w:lang w:val="pt-BR"/>
        </w:rPr>
        <w:t>"A</w:t>
      </w:r>
      <w:r w:rsidRPr="004A2627">
        <w:rPr>
          <w:lang w:val="pt-BR"/>
        </w:rPr>
        <w:t xml:space="preserve"> análise</w:t>
      </w:r>
      <w:r>
        <w:rPr>
          <w:lang w:val="pt-BR"/>
        </w:rPr>
        <w:t xml:space="preserve"> </w:t>
      </w:r>
      <w:r w:rsidRPr="004A2627">
        <w:rPr>
          <w:lang w:val="pt-BR"/>
        </w:rPr>
        <w:t>"específica de desastre" do perigo negligencia os aspectos expansivos d</w:t>
      </w:r>
      <w:r>
        <w:rPr>
          <w:lang w:val="pt-BR"/>
        </w:rPr>
        <w:t>as</w:t>
      </w:r>
      <w:r w:rsidRPr="004A2627">
        <w:rPr>
          <w:lang w:val="pt-BR"/>
        </w:rPr>
        <w:t xml:space="preserve"> avaliações</w:t>
      </w:r>
      <w:r w:rsidR="009660FD">
        <w:rPr>
          <w:lang w:val="pt-BR"/>
        </w:rPr>
        <w:t xml:space="preserve"> </w:t>
      </w:r>
      <w:r w:rsidRPr="004A2627">
        <w:rPr>
          <w:lang w:val="pt-BR"/>
        </w:rPr>
        <w:t>de perigo de desastres múltiplos e pode levar a estratégias isoladas,</w:t>
      </w:r>
      <w:r>
        <w:rPr>
          <w:lang w:val="pt-BR"/>
        </w:rPr>
        <w:t xml:space="preserve"> </w:t>
      </w:r>
      <w:r w:rsidRPr="004A2627">
        <w:rPr>
          <w:lang w:val="pt-BR"/>
        </w:rPr>
        <w:t>intervenções replicadas e técnicas de alívio míopes que podem</w:t>
      </w:r>
      <w:r>
        <w:rPr>
          <w:lang w:val="pt-BR"/>
        </w:rPr>
        <w:t xml:space="preserve"> </w:t>
      </w:r>
      <w:r w:rsidRPr="004A2627">
        <w:rPr>
          <w:lang w:val="pt-BR"/>
        </w:rPr>
        <w:t>tornar o arranjo mais vulnerável a uma gama mais ampla de desastres.</w:t>
      </w:r>
      <w:r>
        <w:rPr>
          <w:lang w:val="pt-BR"/>
        </w:rPr>
        <w:t>"</w:t>
      </w:r>
    </w:p>
    <w:p w14:paraId="522B1822" w14:textId="77777777" w:rsidR="004A2627" w:rsidRDefault="004A2627" w:rsidP="004A2627">
      <w:pPr>
        <w:rPr>
          <w:lang w:val="pt-BR"/>
        </w:rPr>
      </w:pPr>
    </w:p>
    <w:p w14:paraId="5A4BE65B" w14:textId="56062BC0" w:rsidR="004A2627" w:rsidRDefault="00BF572A" w:rsidP="004A2627">
      <w:pPr>
        <w:rPr>
          <w:lang w:val="pt-BR"/>
        </w:rPr>
      </w:pPr>
      <w:r>
        <w:rPr>
          <w:lang w:val="pt-BR"/>
        </w:rPr>
        <w:t>"</w:t>
      </w:r>
      <w:r w:rsidRPr="00BF572A">
        <w:rPr>
          <w:lang w:val="pt-BR"/>
        </w:rPr>
        <w:t xml:space="preserve"> A resiliência da rede refere-se à capacidade da rede de</w:t>
      </w:r>
      <w:r>
        <w:rPr>
          <w:lang w:val="pt-BR"/>
        </w:rPr>
        <w:t xml:space="preserve"> </w:t>
      </w:r>
      <w:r w:rsidRPr="00BF572A">
        <w:rPr>
          <w:lang w:val="pt-BR"/>
        </w:rPr>
        <w:t>suportar interrupções na rede e voltar às condições normais de operação</w:t>
      </w:r>
      <w:r>
        <w:rPr>
          <w:lang w:val="pt-BR"/>
        </w:rPr>
        <w:t xml:space="preserve"> </w:t>
      </w:r>
      <w:r w:rsidRPr="00BF572A">
        <w:rPr>
          <w:lang w:val="pt-BR"/>
        </w:rPr>
        <w:t>sem ou com interferência externa mínima ou para se ajustar</w:t>
      </w:r>
      <w:r>
        <w:rPr>
          <w:lang w:val="pt-BR"/>
        </w:rPr>
        <w:t xml:space="preserve"> à </w:t>
      </w:r>
      <w:r w:rsidRPr="00BF572A">
        <w:rPr>
          <w:lang w:val="pt-BR"/>
        </w:rPr>
        <w:t>pressão para aliviar o comprometimento por meio da degradação graciosa</w:t>
      </w:r>
      <w:r>
        <w:rPr>
          <w:lang w:val="pt-BR"/>
        </w:rPr>
        <w:t>."</w:t>
      </w:r>
    </w:p>
    <w:p w14:paraId="6DCE18D1" w14:textId="77777777" w:rsidR="004A2627" w:rsidRDefault="004A2627" w:rsidP="004A2627">
      <w:pPr>
        <w:rPr>
          <w:lang w:val="pt-BR"/>
        </w:rPr>
      </w:pPr>
    </w:p>
    <w:p w14:paraId="26652015" w14:textId="52C2BE67" w:rsidR="00C26A90" w:rsidRDefault="00C26A90" w:rsidP="004A2627">
      <w:pPr>
        <w:rPr>
          <w:lang w:val="pt-BR"/>
        </w:rPr>
      </w:pPr>
      <w:r>
        <w:rPr>
          <w:lang w:val="pt-BR"/>
        </w:rPr>
        <w:t>"</w:t>
      </w:r>
      <w:r w:rsidRPr="00C26A90">
        <w:rPr>
          <w:lang w:val="pt-BR"/>
        </w:rPr>
        <w:t xml:space="preserve"> A resiliência de uma rede elétrica depende</w:t>
      </w:r>
      <w:r>
        <w:rPr>
          <w:lang w:val="pt-BR"/>
        </w:rPr>
        <w:t xml:space="preserve"> </w:t>
      </w:r>
      <w:r w:rsidRPr="00C26A90">
        <w:rPr>
          <w:lang w:val="pt-BR"/>
        </w:rPr>
        <w:t>da capacidade do sistema de sustentar um fornecimento constante de cargas vitais em</w:t>
      </w:r>
      <w:r>
        <w:rPr>
          <w:lang w:val="pt-BR"/>
        </w:rPr>
        <w:t xml:space="preserve"> </w:t>
      </w:r>
      <w:r w:rsidRPr="00C26A90">
        <w:rPr>
          <w:lang w:val="pt-BR"/>
        </w:rPr>
        <w:t>casos de contingências de alto impacto e baixa frequência (HILF). No caso de qua</w:t>
      </w:r>
      <w:r>
        <w:rPr>
          <w:lang w:val="pt-BR"/>
        </w:rPr>
        <w:t>is</w:t>
      </w:r>
      <w:r w:rsidRPr="00C26A90">
        <w:rPr>
          <w:lang w:val="pt-BR"/>
        </w:rPr>
        <w:t>quer</w:t>
      </w:r>
      <w:r>
        <w:rPr>
          <w:lang w:val="pt-BR"/>
        </w:rPr>
        <w:t xml:space="preserve"> </w:t>
      </w:r>
      <w:r w:rsidRPr="00C26A90">
        <w:rPr>
          <w:lang w:val="pt-BR"/>
        </w:rPr>
        <w:t>interrupções no sistema, um sistema resiliente deve ser capaz de retornar ao estado original no menor tempo possíve</w:t>
      </w:r>
      <w:r>
        <w:rPr>
          <w:lang w:val="pt-BR"/>
        </w:rPr>
        <w:t>l."</w:t>
      </w:r>
    </w:p>
    <w:p w14:paraId="32BB73BB" w14:textId="77777777" w:rsidR="00C26A90" w:rsidRPr="00C26A90" w:rsidRDefault="00C26A90" w:rsidP="004A2627">
      <w:pPr>
        <w:rPr>
          <w:lang w:val="pt-BR"/>
        </w:rPr>
      </w:pPr>
    </w:p>
    <w:p w14:paraId="079CA674" w14:textId="77777777" w:rsidR="004A2627" w:rsidRPr="004A2627" w:rsidRDefault="004A2627" w:rsidP="004A2627">
      <w:pPr>
        <w:rPr>
          <w:lang w:val="pt-BR"/>
        </w:rPr>
      </w:pPr>
      <w:r w:rsidRPr="004A2627">
        <w:rPr>
          <w:lang w:val="pt-BR"/>
        </w:rPr>
        <w:t>2. Metodologia</w:t>
      </w:r>
    </w:p>
    <w:p w14:paraId="1FAA5336" w14:textId="77777777" w:rsidR="004A2627" w:rsidRPr="004A2627" w:rsidRDefault="004A2627" w:rsidP="004A2627">
      <w:pPr>
        <w:rPr>
          <w:lang w:val="pt-BR"/>
        </w:rPr>
      </w:pPr>
      <w:r w:rsidRPr="004A2627">
        <w:rPr>
          <w:lang w:val="pt-BR"/>
        </w:rPr>
        <w:lastRenderedPageBreak/>
        <w:t>O artigo utiliza uma abordagem de revisão sistemática da literatura para classificar métricas em quatro grupos principais:</w:t>
      </w:r>
    </w:p>
    <w:p w14:paraId="6446F264" w14:textId="77777777" w:rsidR="004A2627" w:rsidRPr="004A2627" w:rsidRDefault="004A2627" w:rsidP="004A2627">
      <w:pPr>
        <w:rPr>
          <w:lang w:val="pt-BR"/>
        </w:rPr>
      </w:pPr>
      <w:r w:rsidRPr="004A2627">
        <w:rPr>
          <w:lang w:val="pt-BR"/>
        </w:rPr>
        <w:t>- Métricas convencionais de confiabilidade (SAIFI, SAIDI, CAIDI, ASAI)</w:t>
      </w:r>
    </w:p>
    <w:p w14:paraId="10CDD3E0" w14:textId="77777777" w:rsidR="004A2627" w:rsidRPr="004A2627" w:rsidRDefault="004A2627" w:rsidP="004A2627">
      <w:pPr>
        <w:rPr>
          <w:lang w:val="pt-BR"/>
        </w:rPr>
      </w:pPr>
      <w:r w:rsidRPr="004A2627">
        <w:rPr>
          <w:lang w:val="pt-BR"/>
        </w:rPr>
        <w:t>- Métricas baseadas em risco (frequência × severidade)</w:t>
      </w:r>
    </w:p>
    <w:p w14:paraId="43460148" w14:textId="77777777" w:rsidR="004A2627" w:rsidRPr="004A2627" w:rsidRDefault="004A2627" w:rsidP="004A2627">
      <w:pPr>
        <w:rPr>
          <w:lang w:val="pt-BR"/>
        </w:rPr>
      </w:pPr>
      <w:r w:rsidRPr="004A2627">
        <w:rPr>
          <w:lang w:val="pt-BR"/>
        </w:rPr>
        <w:t>- Métricas espaciais (georreferenciamento de danos e vulnerabilidades)</w:t>
      </w:r>
    </w:p>
    <w:p w14:paraId="6FABF6E1" w14:textId="77777777" w:rsidR="004A2627" w:rsidRPr="004A2627" w:rsidRDefault="004A2627" w:rsidP="004A2627">
      <w:pPr>
        <w:rPr>
          <w:lang w:val="pt-BR"/>
        </w:rPr>
      </w:pPr>
      <w:r w:rsidRPr="004A2627">
        <w:rPr>
          <w:lang w:val="pt-BR"/>
        </w:rPr>
        <w:t>- Métricas temporais (velocidade de recuperação, tempo de falha)</w:t>
      </w:r>
    </w:p>
    <w:p w14:paraId="332AF9C5" w14:textId="77777777" w:rsidR="004A2627" w:rsidRDefault="004A2627" w:rsidP="004A2627">
      <w:pPr>
        <w:rPr>
          <w:lang w:val="pt-BR"/>
        </w:rPr>
      </w:pPr>
      <w:r w:rsidRPr="004A2627">
        <w:rPr>
          <w:lang w:val="pt-BR"/>
        </w:rPr>
        <w:t>Além disso, os autores propõem estratégias de melhoria classificadas em: fortalecimento físico da infraestrutura, operação adaptativa e alocação otimizada de recursos de resposta.</w:t>
      </w:r>
    </w:p>
    <w:p w14:paraId="5436CD4A" w14:textId="77777777" w:rsidR="004A2627" w:rsidRPr="004A2627" w:rsidRDefault="004A2627" w:rsidP="004A2627">
      <w:pPr>
        <w:rPr>
          <w:lang w:val="pt-BR"/>
        </w:rPr>
      </w:pPr>
    </w:p>
    <w:p w14:paraId="12BCC0ED" w14:textId="77777777" w:rsidR="004A2627" w:rsidRPr="004A2627" w:rsidRDefault="004A2627" w:rsidP="004A2627">
      <w:pPr>
        <w:rPr>
          <w:lang w:val="pt-BR"/>
        </w:rPr>
      </w:pPr>
      <w:r w:rsidRPr="004A2627">
        <w:rPr>
          <w:lang w:val="pt-BR"/>
        </w:rPr>
        <w:t>3. Resultados</w:t>
      </w:r>
    </w:p>
    <w:p w14:paraId="6E420D13" w14:textId="77777777" w:rsidR="004A2627" w:rsidRPr="004A2627" w:rsidRDefault="004A2627" w:rsidP="004A2627">
      <w:pPr>
        <w:rPr>
          <w:lang w:val="pt-BR"/>
        </w:rPr>
      </w:pPr>
      <w:r w:rsidRPr="004A2627">
        <w:rPr>
          <w:lang w:val="pt-BR"/>
        </w:rPr>
        <w:t>• Identificação de limitações das métricas SAIDI/SAIFI para eventos de grande escala.</w:t>
      </w:r>
    </w:p>
    <w:p w14:paraId="76FC8EF4" w14:textId="77777777" w:rsidR="004A2627" w:rsidRPr="004A2627" w:rsidRDefault="004A2627" w:rsidP="004A2627">
      <w:pPr>
        <w:rPr>
          <w:lang w:val="pt-BR"/>
        </w:rPr>
      </w:pPr>
      <w:r w:rsidRPr="004A2627">
        <w:rPr>
          <w:lang w:val="pt-BR"/>
        </w:rPr>
        <w:t>• Integração entre confiabilidade e resiliência por meio de métricas mistas (como tempo de interrupção não planejada × impacto econômico).</w:t>
      </w:r>
    </w:p>
    <w:p w14:paraId="52052CFC" w14:textId="77777777" w:rsidR="004A2627" w:rsidRPr="004A2627" w:rsidRDefault="004A2627" w:rsidP="004A2627">
      <w:pPr>
        <w:rPr>
          <w:lang w:val="pt-BR"/>
        </w:rPr>
      </w:pPr>
      <w:r w:rsidRPr="004A2627">
        <w:rPr>
          <w:lang w:val="pt-BR"/>
        </w:rPr>
        <w:t>• Proposta de um framework gráfico com três eixos: robustez (antes), resposta (durante), recuperação (após).</w:t>
      </w:r>
    </w:p>
    <w:p w14:paraId="2B9BB39D" w14:textId="77777777" w:rsidR="004A2627" w:rsidRPr="004A2627" w:rsidRDefault="004A2627" w:rsidP="004A2627">
      <w:pPr>
        <w:rPr>
          <w:lang w:val="pt-BR"/>
        </w:rPr>
      </w:pPr>
      <w:r w:rsidRPr="004A2627">
        <w:rPr>
          <w:lang w:val="pt-BR"/>
        </w:rPr>
        <w:t>• Aplicação de estudos de caso da Índia e dos EUA para ilustrar perdas econômicas e técnicas.</w:t>
      </w:r>
    </w:p>
    <w:p w14:paraId="0F464F60" w14:textId="77777777" w:rsidR="004A2627" w:rsidRDefault="004A2627" w:rsidP="004A2627">
      <w:pPr>
        <w:rPr>
          <w:lang w:val="pt-BR"/>
        </w:rPr>
      </w:pPr>
      <w:r w:rsidRPr="004A2627">
        <w:rPr>
          <w:lang w:val="pt-BR"/>
        </w:rPr>
        <w:t>• Sugerem adoção de sistemas de monitoramento georreferenciado para apoiar decisões de manutenção preventiva.</w:t>
      </w:r>
    </w:p>
    <w:p w14:paraId="09BABA49" w14:textId="77777777" w:rsidR="004A2627" w:rsidRPr="004A2627" w:rsidRDefault="004A2627" w:rsidP="004A2627">
      <w:pPr>
        <w:rPr>
          <w:lang w:val="pt-BR"/>
        </w:rPr>
      </w:pPr>
    </w:p>
    <w:p w14:paraId="175FD857" w14:textId="77777777" w:rsidR="004A2627" w:rsidRPr="004A2627" w:rsidRDefault="004A2627" w:rsidP="004A2627">
      <w:pPr>
        <w:rPr>
          <w:lang w:val="pt-BR"/>
        </w:rPr>
      </w:pPr>
      <w:r w:rsidRPr="004A2627">
        <w:rPr>
          <w:lang w:val="pt-BR"/>
        </w:rPr>
        <w:t>4. Discussão</w:t>
      </w:r>
    </w:p>
    <w:p w14:paraId="52FB3980" w14:textId="77777777" w:rsidR="004A2627" w:rsidRDefault="004A2627" w:rsidP="004A2627">
      <w:pPr>
        <w:rPr>
          <w:lang w:val="pt-BR"/>
        </w:rPr>
      </w:pPr>
      <w:r w:rsidRPr="004A2627">
        <w:rPr>
          <w:lang w:val="pt-BR"/>
        </w:rPr>
        <w:t>A análise mostra que muitas concessionárias utilizam ainda métricas que não refletem a resiliência sob eventos extremos. O artigo reforça a necessidade de modelos que incorporem a dimensão espacial e a cronologia do impacto. Adicionalmente, os autores discutem a importância do uso de ferramentas de simulação baseadas em GIS e modelagem estocástica para antecipar zonas críticas. É destacada a importância de políticas regulatórias que incentivem resiliência ao invés de apenas confiabilidade nominal.</w:t>
      </w:r>
    </w:p>
    <w:p w14:paraId="3A312613" w14:textId="77777777" w:rsidR="004A2627" w:rsidRPr="004A2627" w:rsidRDefault="004A2627" w:rsidP="004A2627">
      <w:pPr>
        <w:rPr>
          <w:lang w:val="pt-BR"/>
        </w:rPr>
      </w:pPr>
    </w:p>
    <w:p w14:paraId="0AD9D0AD" w14:textId="77777777" w:rsidR="004A2627" w:rsidRPr="004A2627" w:rsidRDefault="004A2627" w:rsidP="004A2627">
      <w:pPr>
        <w:rPr>
          <w:lang w:val="pt-BR"/>
        </w:rPr>
      </w:pPr>
      <w:r w:rsidRPr="004A2627">
        <w:rPr>
          <w:lang w:val="pt-BR"/>
        </w:rPr>
        <w:t>5. Conclusão Crítica</w:t>
      </w:r>
    </w:p>
    <w:p w14:paraId="612722E9" w14:textId="77777777" w:rsidR="004A2627" w:rsidRDefault="004A2627" w:rsidP="004A2627">
      <w:pPr>
        <w:rPr>
          <w:lang w:val="pt-BR"/>
        </w:rPr>
      </w:pPr>
      <w:r w:rsidRPr="004A2627">
        <w:rPr>
          <w:lang w:val="pt-BR"/>
        </w:rPr>
        <w:t>O artigo fornece uma visão abrangente e integrada de como métricas e estratégias podem ser combinadas para avaliar e melhorar a resiliência elétrica. Contribui especialmente ao propor métricas híbridas e estratégias diferenciadas por tipo de desastre. Também ressalta a necessidade de colaboração entre regulação, tecnologia e planejamento espacial. A lacuna principal identificada é a ausência de um índice padronizado e universal de resiliência, semelhante ao que o SAIDI representa para confiabilidade.</w:t>
      </w:r>
    </w:p>
    <w:p w14:paraId="19AB56A7" w14:textId="77777777" w:rsidR="004A2627" w:rsidRPr="004A2627" w:rsidRDefault="004A2627" w:rsidP="004A2627">
      <w:pPr>
        <w:rPr>
          <w:lang w:val="pt-BR"/>
        </w:rPr>
      </w:pPr>
    </w:p>
    <w:p w14:paraId="357328F9" w14:textId="77777777" w:rsidR="004A2627" w:rsidRPr="004A2627" w:rsidRDefault="004A2627" w:rsidP="004A2627">
      <w:pPr>
        <w:rPr>
          <w:lang w:val="pt-BR"/>
        </w:rPr>
      </w:pPr>
      <w:r w:rsidRPr="004A2627">
        <w:rPr>
          <w:lang w:val="pt-BR"/>
        </w:rPr>
        <w:t>Resumo dos Achados Principais</w:t>
      </w:r>
    </w:p>
    <w:p w14:paraId="1DF7BA9E" w14:textId="77777777" w:rsidR="004A2627" w:rsidRPr="004A2627" w:rsidRDefault="004A2627" w:rsidP="004A2627">
      <w:pPr>
        <w:rPr>
          <w:lang w:val="pt-BR"/>
        </w:rPr>
      </w:pPr>
      <w:r w:rsidRPr="004A2627">
        <w:rPr>
          <w:lang w:val="pt-BR"/>
        </w:rPr>
        <w:t>• Métricas clássicas como SAIDI/SAIFI são insuficientes para desastres naturais.</w:t>
      </w:r>
    </w:p>
    <w:p w14:paraId="43BEF0ED" w14:textId="77777777" w:rsidR="004A2627" w:rsidRPr="004A2627" w:rsidRDefault="004A2627" w:rsidP="004A2627">
      <w:pPr>
        <w:rPr>
          <w:lang w:val="pt-BR"/>
        </w:rPr>
      </w:pPr>
      <w:r w:rsidRPr="004A2627">
        <w:rPr>
          <w:lang w:val="pt-BR"/>
        </w:rPr>
        <w:t>• Necessidade de integração entre dados geoespaciais, tempo de recuperação e impacto socioeconômico.</w:t>
      </w:r>
    </w:p>
    <w:p w14:paraId="0F2D906A" w14:textId="77777777" w:rsidR="004A2627" w:rsidRPr="004A2627" w:rsidRDefault="004A2627" w:rsidP="004A2627">
      <w:pPr>
        <w:rPr>
          <w:lang w:val="pt-BR"/>
        </w:rPr>
      </w:pPr>
      <w:r w:rsidRPr="004A2627">
        <w:rPr>
          <w:lang w:val="pt-BR"/>
        </w:rPr>
        <w:lastRenderedPageBreak/>
        <w:t>• Propostas práticas incluem reforço físico, automação de distribuição, alocação de recursos adaptativos.</w:t>
      </w:r>
    </w:p>
    <w:p w14:paraId="6209DD97" w14:textId="77777777" w:rsidR="004A2627" w:rsidRPr="004A2627" w:rsidRDefault="004A2627" w:rsidP="004A2627">
      <w:pPr>
        <w:rPr>
          <w:lang w:val="pt-BR"/>
        </w:rPr>
      </w:pPr>
      <w:r w:rsidRPr="004A2627">
        <w:rPr>
          <w:lang w:val="pt-BR"/>
        </w:rPr>
        <w:t>• Ênfase na priorização de cargas críticas e estratégias baseadas em risco.</w:t>
      </w:r>
    </w:p>
    <w:p w14:paraId="2F86D4B4" w14:textId="77777777" w:rsidR="004A2627" w:rsidRPr="004A2627" w:rsidRDefault="004A2627" w:rsidP="004A2627">
      <w:pPr>
        <w:rPr>
          <w:lang w:val="pt-BR"/>
        </w:rPr>
      </w:pPr>
      <w:r w:rsidRPr="004A2627">
        <w:rPr>
          <w:lang w:val="pt-BR"/>
        </w:rPr>
        <w:t>• Proposta de desenvolvimento de métricas híbridas e dashboards de monitoramento contínuo.</w:t>
      </w:r>
    </w:p>
    <w:p w14:paraId="629AD7FA" w14:textId="77777777" w:rsidR="004A2627" w:rsidRPr="004A2627" w:rsidRDefault="004A2627" w:rsidP="004A2627">
      <w:pPr>
        <w:rPr>
          <w:lang w:val="pt-BR"/>
        </w:rPr>
      </w:pPr>
      <w:r w:rsidRPr="004A2627">
        <w:rPr>
          <w:lang w:val="pt-BR"/>
        </w:rPr>
        <w:t>Descrição Técnica de Figuras, Tabelas e Gráficos</w:t>
      </w:r>
    </w:p>
    <w:p w14:paraId="695C82CF" w14:textId="77777777" w:rsidR="004A2627" w:rsidRPr="004A2627" w:rsidRDefault="004A2627" w:rsidP="004A2627">
      <w:pPr>
        <w:rPr>
          <w:lang w:val="pt-BR"/>
        </w:rPr>
      </w:pPr>
      <w:r w:rsidRPr="004A2627">
        <w:rPr>
          <w:lang w:val="pt-BR"/>
        </w:rPr>
        <w:t>• Figura 1: Diagrama conceitual da diferença entre confiabilidade e resiliência ao longo do tempo.</w:t>
      </w:r>
    </w:p>
    <w:p w14:paraId="1D133C1B" w14:textId="77777777" w:rsidR="004A2627" w:rsidRPr="004A2627" w:rsidRDefault="004A2627" w:rsidP="004A2627">
      <w:pPr>
        <w:rPr>
          <w:lang w:val="pt-BR"/>
        </w:rPr>
      </w:pPr>
      <w:r w:rsidRPr="004A2627">
        <w:rPr>
          <w:lang w:val="pt-BR"/>
        </w:rPr>
        <w:t>• Figura 2: Framework gráfico com fases de robustez, resposta e recuperação.</w:t>
      </w:r>
    </w:p>
    <w:p w14:paraId="05F5A9C9" w14:textId="77777777" w:rsidR="004A2627" w:rsidRPr="004A2627" w:rsidRDefault="004A2627" w:rsidP="004A2627">
      <w:pPr>
        <w:rPr>
          <w:lang w:val="pt-BR"/>
        </w:rPr>
      </w:pPr>
      <w:r w:rsidRPr="004A2627">
        <w:rPr>
          <w:lang w:val="pt-BR"/>
        </w:rPr>
        <w:t>• Figura 3: Relação entre métricas tradicionais e ampliação para desastres (modelo 3D).</w:t>
      </w:r>
    </w:p>
    <w:p w14:paraId="3C7F2C8E" w14:textId="77777777" w:rsidR="004A2627" w:rsidRPr="004A2627" w:rsidRDefault="004A2627" w:rsidP="004A2627">
      <w:pPr>
        <w:rPr>
          <w:lang w:val="pt-BR"/>
        </w:rPr>
      </w:pPr>
      <w:r w:rsidRPr="004A2627">
        <w:rPr>
          <w:lang w:val="pt-BR"/>
        </w:rPr>
        <w:t xml:space="preserve">• Tabela 1: Comparação entre diversas métricas (SAIFI, SAIDI, CAIDI, </w:t>
      </w:r>
      <w:proofErr w:type="spellStart"/>
      <w:r w:rsidRPr="004A2627">
        <w:rPr>
          <w:lang w:val="pt-BR"/>
        </w:rPr>
        <w:t>resilência</w:t>
      </w:r>
      <w:proofErr w:type="spellEnd"/>
      <w:r w:rsidRPr="004A2627">
        <w:rPr>
          <w:lang w:val="pt-BR"/>
        </w:rPr>
        <w:t xml:space="preserve"> baseada em risco).</w:t>
      </w:r>
    </w:p>
    <w:p w14:paraId="75DD27B0" w14:textId="77777777" w:rsidR="004A2627" w:rsidRPr="004A2627" w:rsidRDefault="004A2627" w:rsidP="004A2627">
      <w:pPr>
        <w:rPr>
          <w:lang w:val="pt-BR"/>
        </w:rPr>
      </w:pPr>
      <w:r w:rsidRPr="004A2627">
        <w:rPr>
          <w:lang w:val="pt-BR"/>
        </w:rPr>
        <w:t>• Tabela 2: Estratégias propostas de reforço por tipo de desastre (vento, inundação, sismo).</w:t>
      </w:r>
    </w:p>
    <w:p w14:paraId="40487E8D" w14:textId="77777777" w:rsidR="004A2627" w:rsidRPr="004A2627" w:rsidRDefault="004A2627" w:rsidP="004A2627">
      <w:pPr>
        <w:rPr>
          <w:lang w:val="pt-BR"/>
        </w:rPr>
      </w:pPr>
      <w:r w:rsidRPr="004A2627">
        <w:rPr>
          <w:lang w:val="pt-BR"/>
        </w:rPr>
        <w:t>• Figura 4: Representação do impacto econômico de apagões recentes na Índia e EUA.</w:t>
      </w:r>
    </w:p>
    <w:p w14:paraId="64A7A49D" w14:textId="5D28051B" w:rsidR="00AC5231" w:rsidRDefault="00AC5231" w:rsidP="004A2627">
      <w:pPr>
        <w:rPr>
          <w:lang w:val="pt-BR"/>
        </w:rPr>
      </w:pPr>
    </w:p>
    <w:p w14:paraId="5E9A4202" w14:textId="77777777" w:rsidR="004A2627" w:rsidRPr="009660FD" w:rsidRDefault="004A2627" w:rsidP="004A2627">
      <w:pPr>
        <w:rPr>
          <w:lang w:val="pt-BR"/>
        </w:rPr>
      </w:pPr>
    </w:p>
    <w:sectPr w:rsidR="004A2627" w:rsidRPr="009660FD" w:rsidSect="00435A17">
      <w:pgSz w:w="11907" w:h="16840" w:code="9"/>
      <w:pgMar w:top="1440" w:right="1440" w:bottom="1077" w:left="1797" w:header="720" w:footer="119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2627"/>
    <w:rsid w:val="000131F2"/>
    <w:rsid w:val="0007293B"/>
    <w:rsid w:val="0008424C"/>
    <w:rsid w:val="00096FFB"/>
    <w:rsid w:val="000C625D"/>
    <w:rsid w:val="000D45BD"/>
    <w:rsid w:val="001340D3"/>
    <w:rsid w:val="00172112"/>
    <w:rsid w:val="00196796"/>
    <w:rsid w:val="0024739D"/>
    <w:rsid w:val="00347332"/>
    <w:rsid w:val="00393441"/>
    <w:rsid w:val="0039444F"/>
    <w:rsid w:val="003F704C"/>
    <w:rsid w:val="004234AF"/>
    <w:rsid w:val="00423B9B"/>
    <w:rsid w:val="00435A17"/>
    <w:rsid w:val="004A2627"/>
    <w:rsid w:val="004B5BB7"/>
    <w:rsid w:val="00502614"/>
    <w:rsid w:val="005272F0"/>
    <w:rsid w:val="00595B01"/>
    <w:rsid w:val="0061413D"/>
    <w:rsid w:val="00701DA0"/>
    <w:rsid w:val="007E69F0"/>
    <w:rsid w:val="00804B85"/>
    <w:rsid w:val="008226B2"/>
    <w:rsid w:val="008C0D5E"/>
    <w:rsid w:val="009660FD"/>
    <w:rsid w:val="00A04542"/>
    <w:rsid w:val="00A74270"/>
    <w:rsid w:val="00A773DD"/>
    <w:rsid w:val="00AA4524"/>
    <w:rsid w:val="00AC5231"/>
    <w:rsid w:val="00B513FA"/>
    <w:rsid w:val="00B7708D"/>
    <w:rsid w:val="00B811CD"/>
    <w:rsid w:val="00BD2C19"/>
    <w:rsid w:val="00BF51C6"/>
    <w:rsid w:val="00BF572A"/>
    <w:rsid w:val="00C03A12"/>
    <w:rsid w:val="00C26A90"/>
    <w:rsid w:val="00CE4C5C"/>
    <w:rsid w:val="00D25A09"/>
    <w:rsid w:val="00D36EA1"/>
    <w:rsid w:val="00D63D8E"/>
    <w:rsid w:val="00ED59D0"/>
    <w:rsid w:val="00EF273B"/>
    <w:rsid w:val="00F27993"/>
    <w:rsid w:val="00F77278"/>
    <w:rsid w:val="00FD0B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DD11C9"/>
  <w15:chartTrackingRefBased/>
  <w15:docId w15:val="{FAB923A6-B58F-4921-8155-5A9098A2D7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35A17"/>
    <w:pPr>
      <w:spacing w:after="0" w:line="336" w:lineRule="auto"/>
    </w:pPr>
    <w:rPr>
      <w:rFonts w:ascii="Times New Roman" w:eastAsiaTheme="minorEastAsia" w:hAnsi="Times New Roman"/>
      <w:lang w:val="en-US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B7708D"/>
    <w:pPr>
      <w:keepNext/>
      <w:keepLines/>
      <w:spacing w:before="480"/>
      <w:outlineLvl w:val="0"/>
    </w:pPr>
    <w:rPr>
      <w:rFonts w:eastAsiaTheme="majorEastAsia" w:cstheme="majorBidi"/>
      <w:b/>
      <w:bCs/>
      <w:sz w:val="28"/>
      <w:szCs w:val="28"/>
      <w:lang w:val="pt-BR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B7708D"/>
    <w:pPr>
      <w:keepNext/>
      <w:keepLines/>
      <w:spacing w:before="200"/>
      <w:outlineLvl w:val="1"/>
    </w:pPr>
    <w:rPr>
      <w:rFonts w:eastAsiaTheme="majorEastAsia" w:cstheme="majorBidi"/>
      <w:b/>
      <w:bCs/>
      <w:sz w:val="26"/>
      <w:szCs w:val="26"/>
      <w:lang w:val="pt-BR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B7708D"/>
    <w:pPr>
      <w:keepNext/>
      <w:keepLines/>
      <w:spacing w:before="200"/>
      <w:outlineLvl w:val="2"/>
    </w:pPr>
    <w:rPr>
      <w:rFonts w:eastAsiaTheme="majorEastAsia" w:cstheme="majorBidi"/>
      <w:b/>
      <w:bCs/>
      <w:lang w:val="pt-BR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B7708D"/>
    <w:pPr>
      <w:keepNext/>
      <w:keepLines/>
      <w:spacing w:before="200"/>
      <w:outlineLvl w:val="3"/>
    </w:pPr>
    <w:rPr>
      <w:rFonts w:eastAsiaTheme="majorEastAsia" w:cstheme="majorBidi"/>
      <w:b/>
      <w:bCs/>
      <w:i/>
      <w:iCs/>
      <w:lang w:val="pt-BR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4A262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4A2627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4A2627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4A2627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4A2627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B7708D"/>
    <w:rPr>
      <w:rFonts w:ascii="Times New Roman" w:eastAsiaTheme="majorEastAsia" w:hAnsi="Times New Roman" w:cstheme="majorBidi"/>
      <w:b/>
      <w:bCs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B7708D"/>
    <w:rPr>
      <w:rFonts w:ascii="Times New Roman" w:eastAsiaTheme="majorEastAsia" w:hAnsi="Times New Roman" w:cstheme="majorBidi"/>
      <w:b/>
      <w:bCs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B7708D"/>
    <w:rPr>
      <w:rFonts w:ascii="Times New Roman" w:eastAsiaTheme="majorEastAsia" w:hAnsi="Times New Roman" w:cstheme="majorBidi"/>
      <w:b/>
      <w:bCs/>
    </w:rPr>
  </w:style>
  <w:style w:type="character" w:customStyle="1" w:styleId="Ttulo4Char">
    <w:name w:val="Título 4 Char"/>
    <w:basedOn w:val="Fontepargpadro"/>
    <w:link w:val="Ttulo4"/>
    <w:uiPriority w:val="9"/>
    <w:semiHidden/>
    <w:rsid w:val="00B7708D"/>
    <w:rPr>
      <w:rFonts w:ascii="Times New Roman" w:eastAsiaTheme="majorEastAsia" w:hAnsi="Times New Roman" w:cstheme="majorBidi"/>
      <w:b/>
      <w:bCs/>
      <w:i/>
      <w:iCs/>
    </w:rPr>
  </w:style>
  <w:style w:type="paragraph" w:styleId="Ttulo">
    <w:name w:val="Title"/>
    <w:basedOn w:val="Normal"/>
    <w:next w:val="Normal"/>
    <w:link w:val="TtuloChar"/>
    <w:uiPriority w:val="10"/>
    <w:qFormat/>
    <w:rsid w:val="00B7708D"/>
    <w:pPr>
      <w:pBdr>
        <w:bottom w:val="single" w:sz="8" w:space="4" w:color="auto"/>
      </w:pBdr>
      <w:spacing w:after="300" w:line="240" w:lineRule="auto"/>
      <w:contextualSpacing/>
    </w:pPr>
    <w:rPr>
      <w:rFonts w:eastAsiaTheme="majorEastAsia" w:cstheme="majorBidi"/>
      <w:spacing w:val="5"/>
      <w:kern w:val="28"/>
      <w:sz w:val="32"/>
      <w:szCs w:val="52"/>
      <w:lang w:val="pt-BR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B7708D"/>
    <w:rPr>
      <w:rFonts w:ascii="Times New Roman" w:eastAsiaTheme="majorEastAsia" w:hAnsi="Times New Roman" w:cstheme="majorBidi"/>
      <w:spacing w:val="5"/>
      <w:kern w:val="28"/>
      <w:sz w:val="3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B7708D"/>
    <w:pPr>
      <w:numPr>
        <w:ilvl w:val="1"/>
      </w:numPr>
    </w:pPr>
    <w:rPr>
      <w:rFonts w:eastAsiaTheme="majorEastAsia" w:cstheme="majorBidi"/>
      <w:i/>
      <w:iCs/>
      <w:spacing w:val="15"/>
      <w:sz w:val="24"/>
      <w:szCs w:val="24"/>
      <w:lang w:val="pt-BR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B7708D"/>
    <w:rPr>
      <w:rFonts w:ascii="Times New Roman" w:eastAsiaTheme="majorEastAsia" w:hAnsi="Times New Roman" w:cstheme="majorBidi"/>
      <w:i/>
      <w:iCs/>
      <w:spacing w:val="15"/>
      <w:sz w:val="24"/>
      <w:szCs w:val="24"/>
    </w:rPr>
  </w:style>
  <w:style w:type="paragraph" w:styleId="Citao">
    <w:name w:val="Quote"/>
    <w:basedOn w:val="Normal"/>
    <w:next w:val="Normal"/>
    <w:link w:val="CitaoChar"/>
    <w:uiPriority w:val="29"/>
    <w:qFormat/>
    <w:rsid w:val="00B7708D"/>
    <w:rPr>
      <w:rFonts w:eastAsiaTheme="minorHAnsi"/>
      <w:i/>
      <w:iCs/>
      <w:lang w:val="pt-BR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B7708D"/>
    <w:rPr>
      <w:rFonts w:ascii="Times New Roman" w:hAnsi="Times New Roman"/>
      <w:i/>
      <w:iCs/>
    </w:rPr>
  </w:style>
  <w:style w:type="character" w:customStyle="1" w:styleId="Ttulo5Char">
    <w:name w:val="Título 5 Char"/>
    <w:basedOn w:val="Fontepargpadro"/>
    <w:link w:val="Ttulo5"/>
    <w:uiPriority w:val="9"/>
    <w:semiHidden/>
    <w:rsid w:val="004A2627"/>
    <w:rPr>
      <w:rFonts w:eastAsiaTheme="majorEastAsia" w:cstheme="majorBidi"/>
      <w:color w:val="0F4761" w:themeColor="accent1" w:themeShade="BF"/>
      <w:lang w:val="en-US"/>
      <w14:ligatures w14:val="none"/>
    </w:rPr>
  </w:style>
  <w:style w:type="character" w:customStyle="1" w:styleId="Ttulo6Char">
    <w:name w:val="Título 6 Char"/>
    <w:basedOn w:val="Fontepargpadro"/>
    <w:link w:val="Ttulo6"/>
    <w:uiPriority w:val="9"/>
    <w:semiHidden/>
    <w:rsid w:val="004A2627"/>
    <w:rPr>
      <w:rFonts w:eastAsiaTheme="majorEastAsia" w:cstheme="majorBidi"/>
      <w:i/>
      <w:iCs/>
      <w:color w:val="595959" w:themeColor="text1" w:themeTint="A6"/>
      <w:lang w:val="en-US"/>
      <w14:ligatures w14:val="none"/>
    </w:rPr>
  </w:style>
  <w:style w:type="character" w:customStyle="1" w:styleId="Ttulo7Char">
    <w:name w:val="Título 7 Char"/>
    <w:basedOn w:val="Fontepargpadro"/>
    <w:link w:val="Ttulo7"/>
    <w:uiPriority w:val="9"/>
    <w:semiHidden/>
    <w:rsid w:val="004A2627"/>
    <w:rPr>
      <w:rFonts w:eastAsiaTheme="majorEastAsia" w:cstheme="majorBidi"/>
      <w:color w:val="595959" w:themeColor="text1" w:themeTint="A6"/>
      <w:lang w:val="en-US"/>
      <w14:ligatures w14:val="none"/>
    </w:rPr>
  </w:style>
  <w:style w:type="character" w:customStyle="1" w:styleId="Ttulo8Char">
    <w:name w:val="Título 8 Char"/>
    <w:basedOn w:val="Fontepargpadro"/>
    <w:link w:val="Ttulo8"/>
    <w:uiPriority w:val="9"/>
    <w:semiHidden/>
    <w:rsid w:val="004A2627"/>
    <w:rPr>
      <w:rFonts w:eastAsiaTheme="majorEastAsia" w:cstheme="majorBidi"/>
      <w:i/>
      <w:iCs/>
      <w:color w:val="272727" w:themeColor="text1" w:themeTint="D8"/>
      <w:lang w:val="en-US"/>
      <w14:ligatures w14:val="none"/>
    </w:rPr>
  </w:style>
  <w:style w:type="character" w:customStyle="1" w:styleId="Ttulo9Char">
    <w:name w:val="Título 9 Char"/>
    <w:basedOn w:val="Fontepargpadro"/>
    <w:link w:val="Ttulo9"/>
    <w:uiPriority w:val="9"/>
    <w:semiHidden/>
    <w:rsid w:val="004A2627"/>
    <w:rPr>
      <w:rFonts w:eastAsiaTheme="majorEastAsia" w:cstheme="majorBidi"/>
      <w:color w:val="272727" w:themeColor="text1" w:themeTint="D8"/>
      <w:lang w:val="en-US"/>
      <w14:ligatures w14:val="none"/>
    </w:rPr>
  </w:style>
  <w:style w:type="paragraph" w:styleId="PargrafodaLista">
    <w:name w:val="List Paragraph"/>
    <w:basedOn w:val="Normal"/>
    <w:uiPriority w:val="34"/>
    <w:qFormat/>
    <w:rsid w:val="004A2627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4A2627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4A262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4A2627"/>
    <w:rPr>
      <w:rFonts w:ascii="Times New Roman" w:eastAsiaTheme="minorEastAsia" w:hAnsi="Times New Roman"/>
      <w:i/>
      <w:iCs/>
      <w:color w:val="0F4761" w:themeColor="accent1" w:themeShade="BF"/>
      <w:lang w:val="en-US"/>
      <w14:ligatures w14:val="none"/>
    </w:rPr>
  </w:style>
  <w:style w:type="character" w:styleId="RefernciaIntensa">
    <w:name w:val="Intense Reference"/>
    <w:basedOn w:val="Fontepargpadro"/>
    <w:uiPriority w:val="32"/>
    <w:qFormat/>
    <w:rsid w:val="004A262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1043</TotalTime>
  <Pages>3</Pages>
  <Words>877</Words>
  <Characters>4737</Characters>
  <Application>Microsoft Office Word</Application>
  <DocSecurity>0</DocSecurity>
  <Lines>39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Paulo Oliveira</dc:creator>
  <cp:keywords/>
  <dc:description/>
  <cp:lastModifiedBy>Paulo Oliveira</cp:lastModifiedBy>
  <cp:revision>4</cp:revision>
  <dcterms:created xsi:type="dcterms:W3CDTF">2025-05-09T19:47:00Z</dcterms:created>
  <dcterms:modified xsi:type="dcterms:W3CDTF">2025-05-11T22:04:00Z</dcterms:modified>
</cp:coreProperties>
</file>