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5983" w14:textId="71A51DC6" w:rsidR="00AC5231" w:rsidRDefault="00C74101">
      <w:pPr>
        <w:rPr>
          <w:lang w:val="en-US"/>
        </w:rPr>
      </w:pPr>
      <w:r w:rsidRPr="00C74101">
        <w:rPr>
          <w:lang w:val="en-US"/>
        </w:rPr>
        <w:t>2022 Impact of distributed energy resources on power system resilience against earthquakes-IEEE</w:t>
      </w:r>
    </w:p>
    <w:p w14:paraId="14241FB8" w14:textId="77777777" w:rsidR="00C74101" w:rsidRDefault="00C74101">
      <w:pPr>
        <w:rPr>
          <w:lang w:val="en-US"/>
        </w:rPr>
      </w:pPr>
    </w:p>
    <w:p w14:paraId="4C0CAA5C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A10ED4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1CF07B98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J. Guenaou, P.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Henneaux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D. S.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Kirschen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A10ED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Impact of distributed energy resources on power system resilience against earthquakes</w:t>
      </w:r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PES ISGT-Europe</w:t>
      </w:r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2022. 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10.1109/ISGT-Europe54678.2022.9960485. </w:t>
      </w:r>
    </w:p>
    <w:p w14:paraId="50C22679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distributed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34AC8E6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55B797">
          <v:rect id="_x0000_i1025" style="width:0;height:1.5pt" o:hralign="center" o:hrstd="t" o:hr="t" fillcolor="#a0a0a0" stroked="f"/>
        </w:pict>
      </w:r>
    </w:p>
    <w:p w14:paraId="2709EA56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26FA35C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IEEE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base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 e dinâmica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na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da resiliência de sistemas de transmissão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sismos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explicitamente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diferentes níveis de penetração de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estudo combina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dinâmica temporal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(EUROSTAG).</w:t>
      </w:r>
    </w:p>
    <w:p w14:paraId="4FDACA27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técnico, rigoroso e diretamente ligado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literatura de resiliência em sistemas elétricos.</w:t>
      </w:r>
    </w:p>
    <w:p w14:paraId="178A09D2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70CC8F">
          <v:rect id="_x0000_i1026" style="width:0;height:1.5pt" o:hralign="center" o:hrstd="t" o:hr="t" fillcolor="#a0a0a0" stroked="f"/>
        </w:pict>
      </w:r>
    </w:p>
    <w:p w14:paraId="25A773FD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24197B51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Contribuição central</w:t>
      </w:r>
    </w:p>
    <w:p w14:paraId="009C9411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investiga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como a penetração de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afeta a resiliência da rede de transmissão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sismos, evidenciando um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entre redução de inércia e geração local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resiliência é quantificada por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probabilidade de </w:t>
      </w:r>
      <w:proofErr w:type="spellStart"/>
      <w:r w:rsidRPr="00A10ED4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10ED4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valor médio de carga cortada e número de blackouts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E90826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646656">
          <v:rect id="_x0000_i1027" style="width:0;height:1.5pt" o:hralign="center" o:hrstd="t" o:hr="t" fillcolor="#a0a0a0" stroked="f"/>
        </w:pict>
      </w:r>
    </w:p>
    <w:p w14:paraId="33EA6795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de avaliação de resiliência</w:t>
      </w:r>
    </w:p>
    <w:p w14:paraId="429492F0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abordagem segue três etapas (Sec. II-A):</w:t>
      </w:r>
    </w:p>
    <w:p w14:paraId="58D5CE2D" w14:textId="77777777" w:rsidR="00A10ED4" w:rsidRPr="00A10ED4" w:rsidRDefault="00A10ED4" w:rsidP="00A10E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Caracterização probabilística da ameaça (sismo)</w:t>
      </w:r>
    </w:p>
    <w:p w14:paraId="1D53735C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aleatórias: localização, profundidade e magnitude;</w:t>
      </w:r>
    </w:p>
    <w:p w14:paraId="257D5030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cenários via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7A0B04" w14:textId="77777777" w:rsidR="00A10ED4" w:rsidRPr="00A10ED4" w:rsidRDefault="00A10ED4" w:rsidP="00A10E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vulnerabilidade do sistema</w:t>
      </w:r>
    </w:p>
    <w:p w14:paraId="0C058088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transmissão, subestações e geradores;</w:t>
      </w:r>
    </w:p>
    <w:p w14:paraId="4A20A059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de contingências múltiplas (≥ N-2).</w:t>
      </w:r>
    </w:p>
    <w:p w14:paraId="60B43FFC" w14:textId="77777777" w:rsidR="00A10ED4" w:rsidRPr="00A10ED4" w:rsidRDefault="00A10ED4" w:rsidP="00A10ED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Simulação da reação do sistema</w:t>
      </w:r>
    </w:p>
    <w:p w14:paraId="7E079596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transitória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EUROSTAG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02A30B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Inclusão de proteções (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sobrefrequência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/sobretensão, sobrecarga);</w:t>
      </w:r>
    </w:p>
    <w:p w14:paraId="743580BC" w14:textId="77777777" w:rsidR="00A10ED4" w:rsidRPr="00A10ED4" w:rsidRDefault="00A10ED4" w:rsidP="00A10ED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do estado pós-evento.</w:t>
      </w:r>
    </w:p>
    <w:p w14:paraId="43989ECA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B6C9A9">
          <v:rect id="_x0000_i1028" style="width:0;height:1.5pt" o:hralign="center" o:hrstd="t" o:hr="t" fillcolor="#a0a0a0" stroked="f"/>
        </w:pict>
      </w:r>
    </w:p>
    <w:p w14:paraId="511073D6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Modelação de </w:t>
      </w:r>
      <w:proofErr w:type="spellStart"/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inércia</w:t>
      </w:r>
    </w:p>
    <w:p w14:paraId="7F38CB61" w14:textId="77777777" w:rsidR="00A10ED4" w:rsidRPr="00A10ED4" w:rsidRDefault="00A10ED4" w:rsidP="00A10ED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modelados como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inverter-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generators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(IBG)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dinâmica própria (Fig. 1, p. 3).</w:t>
      </w:r>
    </w:p>
    <w:p w14:paraId="40DF44FF" w14:textId="77777777" w:rsidR="00A10ED4" w:rsidRPr="00A10ED4" w:rsidRDefault="00A10ED4" w:rsidP="00A10ED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 explicitamente:</w:t>
      </w:r>
    </w:p>
    <w:p w14:paraId="5066AEBF" w14:textId="77777777" w:rsidR="00A10ED4" w:rsidRPr="00A10ED4" w:rsidRDefault="00A10ED4" w:rsidP="00A10ED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de inércia síncrona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maior penetração de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4AB380" w14:textId="77777777" w:rsidR="00A10ED4" w:rsidRPr="00A10ED4" w:rsidRDefault="00A10ED4" w:rsidP="00A10ED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 positivo da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local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redução de fluxos e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D4EE5E" w14:textId="77777777" w:rsidR="00A10ED4" w:rsidRPr="00A10ED4" w:rsidRDefault="00A10ED4" w:rsidP="00A10ED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analisados (Tabela I, p. 4):</w:t>
      </w:r>
    </w:p>
    <w:p w14:paraId="1DC9872F" w14:textId="77777777" w:rsidR="00A10ED4" w:rsidRPr="00A10ED4" w:rsidRDefault="00A10ED4" w:rsidP="00A10ED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0 → 50 % da geração;</w:t>
      </w:r>
    </w:p>
    <w:p w14:paraId="5753D34A" w14:textId="77777777" w:rsidR="00A10ED4" w:rsidRPr="00A10ED4" w:rsidRDefault="00A10ED4" w:rsidP="00A10ED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Inércia variando de 100 % a 59,5 % do caso base.</w:t>
      </w:r>
    </w:p>
    <w:p w14:paraId="45DDA715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6318C2">
          <v:rect id="_x0000_i1029" style="width:0;height:1.5pt" o:hralign="center" o:hrstd="t" o:hr="t" fillcolor="#a0a0a0" stroked="f"/>
        </w:pict>
      </w:r>
    </w:p>
    <w:p w14:paraId="635FAB5E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principais</w:t>
      </w:r>
    </w:p>
    <w:p w14:paraId="683E0DB6" w14:textId="77777777" w:rsidR="00A10ED4" w:rsidRPr="00A10ED4" w:rsidRDefault="00A10ED4" w:rsidP="00A10E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é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monotónica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penetração de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FA0F3C8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níveis intermédios (~20 %) apresentam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pior desempenho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(Case 3);</w:t>
      </w:r>
    </w:p>
    <w:p w14:paraId="4CB51260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níveis elevados (40–50 %) mostram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resiliência global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8EDB18" w14:textId="77777777" w:rsidR="00A10ED4" w:rsidRPr="00A10ED4" w:rsidRDefault="00A10ED4" w:rsidP="00A10E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(Tabelas II e IV):</w:t>
      </w:r>
    </w:p>
    <w:p w14:paraId="587808F9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10ED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Average load shedding</w:t>
      </w:r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varia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≈ 4 % a </w:t>
      </w:r>
      <w:proofErr w:type="gramStart"/>
      <w:r w:rsidRPr="00A10ED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9 %</w:t>
      </w:r>
      <w:r w:rsidRPr="00A10ED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0FFD2FD2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número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varia de 1 a 55.</w:t>
      </w:r>
    </w:p>
    <w:p w14:paraId="7F204C53" w14:textId="77777777" w:rsidR="00A10ED4" w:rsidRPr="00A10ED4" w:rsidRDefault="00A10ED4" w:rsidP="00A10ED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de cenário específico mostra:</w:t>
      </w:r>
    </w:p>
    <w:p w14:paraId="151CFF78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formação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sub-redes ilhadas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81670D" w14:textId="77777777" w:rsidR="00A10ED4" w:rsidRPr="00A10ED4" w:rsidRDefault="00A10ED4" w:rsidP="00A10ED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direto da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da geração DER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estabilidade de frequência (Figs. 4 e 5).</w:t>
      </w:r>
    </w:p>
    <w:p w14:paraId="435B2A00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Conclusão-chave: existe um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ótimo de compromisso entre inércia e geração local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dependente da topologia e do tipo de ameaça.</w:t>
      </w:r>
    </w:p>
    <w:p w14:paraId="1B671865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B9A571">
          <v:rect id="_x0000_i1030" style="width:0;height:1.5pt" o:hralign="center" o:hrstd="t" o:hr="t" fillcolor="#a0a0a0" stroked="f"/>
        </w:pict>
      </w:r>
    </w:p>
    <w:p w14:paraId="5D1F9EBA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Enquadramento face ao seu doutoramento</w:t>
      </w:r>
    </w:p>
    <w:p w14:paraId="21191CB7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(Resiliência das Linhas de Transmissão)</w:t>
      </w:r>
    </w:p>
    <w:p w14:paraId="5B6F5579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Pontos de forte aderência</w:t>
      </w:r>
    </w:p>
    <w:p w14:paraId="592ED740" w14:textId="77777777" w:rsidR="00A10ED4" w:rsidRPr="00A10ED4" w:rsidRDefault="00A10ED4" w:rsidP="00A10ED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explícita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transmissão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 HILP.</w:t>
      </w:r>
    </w:p>
    <w:p w14:paraId="75049959" w14:textId="77777777" w:rsidR="00A10ED4" w:rsidRPr="00A10ED4" w:rsidRDefault="00A10ED4" w:rsidP="00A10ED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4C7BE923" w14:textId="77777777" w:rsidR="00A10ED4" w:rsidRPr="00A10ED4" w:rsidRDefault="00A10ED4" w:rsidP="00A10ED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8ABBCA8" w14:textId="77777777" w:rsidR="00A10ED4" w:rsidRPr="00A10ED4" w:rsidRDefault="00A10ED4" w:rsidP="00A10ED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F7143CE" w14:textId="77777777" w:rsidR="00A10ED4" w:rsidRPr="00A10ED4" w:rsidRDefault="00A10ED4" w:rsidP="00A10ED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dinâmica temporal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4340AE" w14:textId="77777777" w:rsidR="00A10ED4" w:rsidRPr="00A10ED4" w:rsidRDefault="00A10ED4" w:rsidP="00A10ED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Demonstra claramente que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topologia, inércia e localização da geração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influenciam a resiliência — conceitos centrais para o seu índice.</w:t>
      </w:r>
    </w:p>
    <w:p w14:paraId="2A151D04" w14:textId="77777777" w:rsidR="00A10ED4" w:rsidRPr="00A10ED4" w:rsidRDefault="00A10ED4" w:rsidP="00A10ED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Limitações relevantes</w:t>
      </w:r>
    </w:p>
    <w:p w14:paraId="0706F913" w14:textId="77777777" w:rsidR="00A10ED4" w:rsidRPr="00A10ED4" w:rsidRDefault="00A10ED4" w:rsidP="00A10E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medida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indiretamente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(LS, blackouts), não por um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dedicado às linhas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8E007B" w14:textId="77777777" w:rsidR="00A10ED4" w:rsidRPr="00A10ED4" w:rsidRDefault="00A10ED4" w:rsidP="00A10E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danos estruturais detalhados em torres/condutores (fragilidade agregada).</w:t>
      </w:r>
    </w:p>
    <w:p w14:paraId="2FB53977" w14:textId="77777777" w:rsidR="00A10ED4" w:rsidRPr="00A10ED4" w:rsidRDefault="00A10ED4" w:rsidP="00A10ED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sistémico (rede +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não exclusivamente nas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6A4858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colmatar: um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simples, físico-operacional e centrado na transmissão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664810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0CA728">
          <v:rect id="_x0000_i1031" style="width:0;height:1.5pt" o:hralign="center" o:hrstd="t" o:hr="t" fillcolor="#a0a0a0" stroked="f"/>
        </w:pict>
      </w:r>
    </w:p>
    <w:p w14:paraId="5CE75D76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2F954EE" w14:textId="77777777" w:rsidR="00A10ED4" w:rsidRPr="00A10ED4" w:rsidRDefault="00A10ED4" w:rsidP="00A10ED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23BF8DE" w14:textId="77777777" w:rsidR="00A10ED4" w:rsidRPr="00A10ED4" w:rsidRDefault="00A10ED4" w:rsidP="00A10ED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 (IEEE);</w:t>
      </w:r>
    </w:p>
    <w:p w14:paraId="71C71E48" w14:textId="77777777" w:rsidR="00A10ED4" w:rsidRPr="00A10ED4" w:rsidRDefault="00A10ED4" w:rsidP="00A10ED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relação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× </w:t>
      </w:r>
      <w:proofErr w:type="spellStart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inércia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E1B4DA" w14:textId="77777777" w:rsidR="00A10ED4" w:rsidRPr="00A10ED4" w:rsidRDefault="00A10ED4" w:rsidP="00A10ED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mais diretas e específicas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transmissão.</w:t>
      </w:r>
    </w:p>
    <w:p w14:paraId="33E40369" w14:textId="77777777" w:rsidR="00A10ED4" w:rsidRPr="00A10ED4" w:rsidRDefault="00A10ED4" w:rsidP="00A10ED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Excelente referência para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comparação metodológica.</w:t>
      </w:r>
    </w:p>
    <w:p w14:paraId="4D63A27E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7591D5">
          <v:rect id="_x0000_i1032" style="width:0;height:1.5pt" o:hralign="center" o:hrstd="t" o:hr="t" fillcolor="#a0a0a0" stroked="f"/>
        </w:pict>
      </w:r>
    </w:p>
    <w:p w14:paraId="025DA354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5D4F820A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E3CA023" w14:textId="77777777" w:rsidR="00A10ED4" w:rsidRPr="00A10ED4" w:rsidRDefault="00A10ED4" w:rsidP="00A10ED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686C3A">
          <v:rect id="_x0000_i1033" style="width:0;height:1.5pt" o:hralign="center" o:hrstd="t" o:hr="t" fillcolor="#a0a0a0" stroked="f"/>
        </w:pict>
      </w:r>
    </w:p>
    <w:p w14:paraId="06D83BC8" w14:textId="77777777" w:rsidR="00A10ED4" w:rsidRPr="00A10ED4" w:rsidRDefault="00A10ED4" w:rsidP="00A10ED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307A0BB3" w14:textId="77777777" w:rsidR="00A10ED4" w:rsidRPr="00A10ED4" w:rsidRDefault="00A10ED4" w:rsidP="00A10E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51F93AA" w14:textId="77777777" w:rsidR="00A10ED4" w:rsidRPr="00A10ED4" w:rsidRDefault="00A10ED4" w:rsidP="00A10E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 da penetração de </w:t>
      </w:r>
      <w:proofErr w:type="spellStart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resiliência da transmissão sob sismos</w:t>
      </w:r>
    </w:p>
    <w:p w14:paraId="3770BF18" w14:textId="77777777" w:rsidR="00A10ED4" w:rsidRPr="00A10ED4" w:rsidRDefault="00A10ED4" w:rsidP="00A10E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B5FC97E" w14:textId="77777777" w:rsidR="00A10ED4" w:rsidRPr="00A10ED4" w:rsidRDefault="00A10ED4" w:rsidP="00A10E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</w:t>
      </w:r>
    </w:p>
    <w:p w14:paraId="24C1D572" w14:textId="77777777" w:rsidR="00A10ED4" w:rsidRPr="00A10ED4" w:rsidRDefault="00A10ED4" w:rsidP="00A10ED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3B2634D4" w14:textId="77777777" w:rsidR="00A10ED4" w:rsidRPr="00A10ED4" w:rsidRDefault="00A10ED4" w:rsidP="00A10ED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indicar que este foi o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do grupo de 2022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eu </w:t>
      </w:r>
      <w:r w:rsidRPr="00A10ED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gero imediatamente a tabela consolidada</w:t>
      </w:r>
      <w:r w:rsidRPr="00A10ED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todos os arquivos avaliados, exatamente no formato já acordado.</w:t>
      </w:r>
    </w:p>
    <w:p w14:paraId="137CD100" w14:textId="77777777" w:rsidR="00C74101" w:rsidRPr="00A10ED4" w:rsidRDefault="00C74101"/>
    <w:sectPr w:rsidR="00C74101" w:rsidRPr="00A10ED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78AC"/>
    <w:multiLevelType w:val="multilevel"/>
    <w:tmpl w:val="776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A23BA"/>
    <w:multiLevelType w:val="multilevel"/>
    <w:tmpl w:val="898C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40FFC"/>
    <w:multiLevelType w:val="multilevel"/>
    <w:tmpl w:val="E2A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01289"/>
    <w:multiLevelType w:val="multilevel"/>
    <w:tmpl w:val="878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73621"/>
    <w:multiLevelType w:val="multilevel"/>
    <w:tmpl w:val="7C9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61E56"/>
    <w:multiLevelType w:val="multilevel"/>
    <w:tmpl w:val="0CE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46F57"/>
    <w:multiLevelType w:val="multilevel"/>
    <w:tmpl w:val="5A6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45193">
    <w:abstractNumId w:val="1"/>
  </w:num>
  <w:num w:numId="2" w16cid:durableId="739331104">
    <w:abstractNumId w:val="0"/>
  </w:num>
  <w:num w:numId="3" w16cid:durableId="1702824861">
    <w:abstractNumId w:val="4"/>
  </w:num>
  <w:num w:numId="4" w16cid:durableId="63649853">
    <w:abstractNumId w:val="3"/>
  </w:num>
  <w:num w:numId="5" w16cid:durableId="1219975151">
    <w:abstractNumId w:val="6"/>
  </w:num>
  <w:num w:numId="6" w16cid:durableId="627013888">
    <w:abstractNumId w:val="2"/>
  </w:num>
  <w:num w:numId="7" w16cid:durableId="433866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0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10ED4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74101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4017"/>
  <w15:chartTrackingRefBased/>
  <w15:docId w15:val="{14AD83C4-F58F-4925-936A-DFD279E3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0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0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0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0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0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7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0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741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ED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10ED4"/>
    <w:rPr>
      <w:b/>
      <w:bCs/>
    </w:rPr>
  </w:style>
  <w:style w:type="character" w:styleId="Emphasis">
    <w:name w:val="Emphasis"/>
    <w:basedOn w:val="DefaultParagraphFont"/>
    <w:uiPriority w:val="20"/>
    <w:qFormat/>
    <w:rsid w:val="00A10ED4"/>
    <w:rPr>
      <w:i/>
      <w:iCs/>
    </w:rPr>
  </w:style>
  <w:style w:type="character" w:customStyle="1" w:styleId="relative">
    <w:name w:val="relative"/>
    <w:basedOn w:val="DefaultParagraphFont"/>
    <w:rsid w:val="00A10ED4"/>
  </w:style>
  <w:style w:type="paragraph" w:customStyle="1" w:styleId="not-prose">
    <w:name w:val="not-prose"/>
    <w:basedOn w:val="Normal"/>
    <w:rsid w:val="00A10ED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700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2026-01-04T10:37:00Z</dcterms:created>
  <dcterms:modified xsi:type="dcterms:W3CDTF">2026-01-04T10:39:00Z</dcterms:modified>
</cp:coreProperties>
</file>