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7EEEE" w14:textId="4DF2AF03" w:rsidR="00AC5231" w:rsidRDefault="000F2A9D">
      <w:pPr>
        <w:rPr>
          <w:lang w:val="en-US"/>
        </w:rPr>
      </w:pPr>
      <w:r w:rsidRPr="000F2A9D">
        <w:rPr>
          <w:lang w:val="en-US"/>
        </w:rPr>
        <w:t>2023 Methods for Analysis and Quantification of Power System Resilience-IEEE</w:t>
      </w:r>
    </w:p>
    <w:p w14:paraId="7AE537C9" w14:textId="77777777" w:rsidR="000F2A9D" w:rsidRDefault="000F2A9D">
      <w:pPr>
        <w:rPr>
          <w:lang w:val="en-US"/>
        </w:rPr>
      </w:pPr>
    </w:p>
    <w:p w14:paraId="581138AB" w14:textId="77777777" w:rsidR="006C4AC3" w:rsidRPr="006C4AC3" w:rsidRDefault="006C4AC3" w:rsidP="006C4AC3">
      <w:pPr>
        <w:spacing w:before="100" w:beforeAutospacing="1" w:after="100" w:afterAutospacing="1"/>
        <w:rPr>
          <w:rFonts w:eastAsia="Times New Roman" w:cs="Times New Roman"/>
          <w:kern w:val="0"/>
          <w:sz w:val="24"/>
          <w:szCs w:val="24"/>
          <w:lang w:val="en-US" w:eastAsia="pt-PT"/>
          <w14:ligatures w14:val="none"/>
        </w:rPr>
      </w:pPr>
      <w:proofErr w:type="spellStart"/>
      <w:r w:rsidRPr="006C4AC3">
        <w:rPr>
          <w:rFonts w:eastAsia="Times New Roman" w:cs="Times New Roman"/>
          <w:kern w:val="0"/>
          <w:sz w:val="24"/>
          <w:szCs w:val="24"/>
          <w:lang w:val="en-US" w:eastAsia="pt-PT"/>
          <w14:ligatures w14:val="none"/>
        </w:rPr>
        <w:t>Artigo</w:t>
      </w:r>
      <w:proofErr w:type="spellEnd"/>
      <w:r w:rsidRPr="006C4AC3">
        <w:rPr>
          <w:rFonts w:eastAsia="Times New Roman" w:cs="Times New Roman"/>
          <w:kern w:val="0"/>
          <w:sz w:val="24"/>
          <w:szCs w:val="24"/>
          <w:lang w:val="en-US" w:eastAsia="pt-PT"/>
          <w14:ligatures w14:val="none"/>
        </w:rPr>
        <w:t xml:space="preserve"> (2023)</w:t>
      </w:r>
      <w:r w:rsidRPr="006C4AC3">
        <w:rPr>
          <w:rFonts w:eastAsia="Times New Roman" w:cs="Times New Roman"/>
          <w:kern w:val="0"/>
          <w:sz w:val="24"/>
          <w:szCs w:val="24"/>
          <w:lang w:val="en-US" w:eastAsia="pt-PT"/>
          <w14:ligatures w14:val="none"/>
        </w:rPr>
        <w:br/>
      </w:r>
      <w:proofErr w:type="spellStart"/>
      <w:r w:rsidRPr="006C4AC3">
        <w:rPr>
          <w:rFonts w:eastAsia="Times New Roman" w:cs="Times New Roman"/>
          <w:kern w:val="0"/>
          <w:sz w:val="24"/>
          <w:szCs w:val="24"/>
          <w:lang w:val="en-US" w:eastAsia="pt-PT"/>
          <w14:ligatures w14:val="none"/>
        </w:rPr>
        <w:t>Título</w:t>
      </w:r>
      <w:proofErr w:type="spellEnd"/>
      <w:r w:rsidRPr="006C4AC3">
        <w:rPr>
          <w:rFonts w:eastAsia="Times New Roman" w:cs="Times New Roman"/>
          <w:kern w:val="0"/>
          <w:sz w:val="24"/>
          <w:szCs w:val="24"/>
          <w:lang w:val="en-US" w:eastAsia="pt-PT"/>
          <w14:ligatures w14:val="none"/>
        </w:rPr>
        <w:t xml:space="preserve">: </w:t>
      </w:r>
      <w:r w:rsidRPr="006C4AC3">
        <w:rPr>
          <w:rFonts w:eastAsia="Times New Roman" w:cs="Times New Roman"/>
          <w:i/>
          <w:iCs/>
          <w:kern w:val="0"/>
          <w:sz w:val="24"/>
          <w:szCs w:val="24"/>
          <w:lang w:val="en-US" w:eastAsia="pt-PT"/>
          <w14:ligatures w14:val="none"/>
        </w:rPr>
        <w:t>Methods for Analysis and Quantification of Power System Resilience</w:t>
      </w:r>
      <w:r w:rsidRPr="006C4AC3">
        <w:rPr>
          <w:rFonts w:eastAsia="Times New Roman" w:cs="Times New Roman"/>
          <w:kern w:val="0"/>
          <w:sz w:val="24"/>
          <w:szCs w:val="24"/>
          <w:lang w:val="en-US" w:eastAsia="pt-PT"/>
          <w14:ligatures w14:val="none"/>
        </w:rPr>
        <w:br/>
      </w:r>
      <w:proofErr w:type="spellStart"/>
      <w:r w:rsidRPr="006C4AC3">
        <w:rPr>
          <w:rFonts w:eastAsia="Times New Roman" w:cs="Times New Roman"/>
          <w:kern w:val="0"/>
          <w:sz w:val="24"/>
          <w:szCs w:val="24"/>
          <w:lang w:val="en-US" w:eastAsia="pt-PT"/>
          <w14:ligatures w14:val="none"/>
        </w:rPr>
        <w:t>Autores</w:t>
      </w:r>
      <w:proofErr w:type="spellEnd"/>
      <w:r w:rsidRPr="006C4AC3">
        <w:rPr>
          <w:rFonts w:eastAsia="Times New Roman" w:cs="Times New Roman"/>
          <w:kern w:val="0"/>
          <w:sz w:val="24"/>
          <w:szCs w:val="24"/>
          <w:lang w:val="en-US" w:eastAsia="pt-PT"/>
          <w14:ligatures w14:val="none"/>
        </w:rPr>
        <w:t>: A. M. Stanković et al.</w:t>
      </w:r>
      <w:r w:rsidRPr="006C4AC3">
        <w:rPr>
          <w:rFonts w:eastAsia="Times New Roman" w:cs="Times New Roman"/>
          <w:kern w:val="0"/>
          <w:sz w:val="24"/>
          <w:szCs w:val="24"/>
          <w:lang w:val="en-US" w:eastAsia="pt-PT"/>
          <w14:ligatures w14:val="none"/>
        </w:rPr>
        <w:br/>
        <w:t xml:space="preserve">Fonte: </w:t>
      </w:r>
      <w:r w:rsidRPr="006C4AC3">
        <w:rPr>
          <w:rFonts w:eastAsia="Times New Roman" w:cs="Times New Roman"/>
          <w:i/>
          <w:iCs/>
          <w:kern w:val="0"/>
          <w:sz w:val="24"/>
          <w:szCs w:val="24"/>
          <w:lang w:val="en-US" w:eastAsia="pt-PT"/>
          <w14:ligatures w14:val="none"/>
        </w:rPr>
        <w:t>IEEE Transactions on Power Systems</w:t>
      </w:r>
      <w:r w:rsidRPr="006C4AC3">
        <w:rPr>
          <w:rFonts w:eastAsia="Times New Roman" w:cs="Times New Roman"/>
          <w:kern w:val="0"/>
          <w:sz w:val="24"/>
          <w:szCs w:val="24"/>
          <w:lang w:val="en-US" w:eastAsia="pt-PT"/>
          <w14:ligatures w14:val="none"/>
        </w:rPr>
        <w:t xml:space="preserve">, vol. 38, n. 5, </w:t>
      </w:r>
      <w:proofErr w:type="spellStart"/>
      <w:r w:rsidRPr="006C4AC3">
        <w:rPr>
          <w:rFonts w:eastAsia="Times New Roman" w:cs="Times New Roman"/>
          <w:kern w:val="0"/>
          <w:sz w:val="24"/>
          <w:szCs w:val="24"/>
          <w:lang w:val="en-US" w:eastAsia="pt-PT"/>
          <w14:ligatures w14:val="none"/>
        </w:rPr>
        <w:t>setembro</w:t>
      </w:r>
      <w:proofErr w:type="spellEnd"/>
      <w:r w:rsidRPr="006C4AC3">
        <w:rPr>
          <w:rFonts w:eastAsia="Times New Roman" w:cs="Times New Roman"/>
          <w:kern w:val="0"/>
          <w:sz w:val="24"/>
          <w:szCs w:val="24"/>
          <w:lang w:val="en-US" w:eastAsia="pt-PT"/>
          <w14:ligatures w14:val="none"/>
        </w:rPr>
        <w:t xml:space="preserve"> de 2023</w:t>
      </w:r>
      <w:r w:rsidRPr="006C4AC3">
        <w:rPr>
          <w:rFonts w:eastAsia="Times New Roman" w:cs="Times New Roman"/>
          <w:kern w:val="0"/>
          <w:sz w:val="24"/>
          <w:szCs w:val="24"/>
          <w:lang w:val="en-US" w:eastAsia="pt-PT"/>
          <w14:ligatures w14:val="none"/>
        </w:rPr>
        <w:br/>
        <w:t xml:space="preserve">DOI: 10.1109/TPWRS.2022.3212688 </w:t>
      </w:r>
    </w:p>
    <w:p w14:paraId="27B7E12C" w14:textId="77777777" w:rsidR="006C4AC3" w:rsidRPr="006C4AC3" w:rsidRDefault="006C4AC3" w:rsidP="006C4AC3">
      <w:pPr>
        <w:spacing w:before="100" w:beforeAutospacing="1" w:after="100" w:afterAutospacing="1"/>
        <w:rPr>
          <w:rFonts w:eastAsia="Times New Roman" w:cs="Times New Roman"/>
          <w:kern w:val="0"/>
          <w:sz w:val="24"/>
          <w:szCs w:val="24"/>
          <w:lang w:val="en-US" w:eastAsia="pt-PT"/>
          <w14:ligatures w14:val="none"/>
        </w:rPr>
      </w:pPr>
      <w:r w:rsidRPr="006C4AC3">
        <w:rPr>
          <w:rFonts w:eastAsia="Times New Roman" w:cs="Times New Roman"/>
          <w:kern w:val="0"/>
          <w:sz w:val="24"/>
          <w:szCs w:val="24"/>
          <w:lang w:val="en-US" w:eastAsia="pt-PT"/>
          <w14:ligatures w14:val="none"/>
        </w:rPr>
        <w:t>2023 Methods for Analysis and Q…</w:t>
      </w:r>
    </w:p>
    <w:p w14:paraId="544621C9" w14:textId="77777777" w:rsidR="006C4AC3" w:rsidRPr="006C4AC3" w:rsidRDefault="006C4AC3" w:rsidP="006C4AC3">
      <w:pPr>
        <w:spacing w:before="100" w:beforeAutospacing="1" w:after="100" w:afterAutospacing="1"/>
        <w:rPr>
          <w:rFonts w:eastAsia="Times New Roman" w:cs="Times New Roman"/>
          <w:kern w:val="0"/>
          <w:sz w:val="24"/>
          <w:szCs w:val="24"/>
          <w:lang w:val="en-US" w:eastAsia="pt-PT"/>
          <w14:ligatures w14:val="none"/>
        </w:rPr>
      </w:pPr>
      <w:proofErr w:type="spellStart"/>
      <w:r w:rsidRPr="006C4AC3">
        <w:rPr>
          <w:rFonts w:eastAsia="Times New Roman" w:cs="Times New Roman"/>
          <w:kern w:val="0"/>
          <w:sz w:val="24"/>
          <w:szCs w:val="24"/>
          <w:lang w:val="en-US" w:eastAsia="pt-PT"/>
          <w14:ligatures w14:val="none"/>
        </w:rPr>
        <w:t>Arquivo</w:t>
      </w:r>
      <w:proofErr w:type="spellEnd"/>
      <w:r w:rsidRPr="006C4AC3">
        <w:rPr>
          <w:rFonts w:eastAsia="Times New Roman" w:cs="Times New Roman"/>
          <w:kern w:val="0"/>
          <w:sz w:val="24"/>
          <w:szCs w:val="24"/>
          <w:lang w:val="en-US" w:eastAsia="pt-PT"/>
          <w14:ligatures w14:val="none"/>
        </w:rPr>
        <w:t>:</w:t>
      </w:r>
      <w:r w:rsidRPr="006C4AC3">
        <w:rPr>
          <w:rFonts w:eastAsia="Times New Roman" w:cs="Times New Roman"/>
          <w:kern w:val="0"/>
          <w:sz w:val="24"/>
          <w:szCs w:val="24"/>
          <w:lang w:val="en-US" w:eastAsia="pt-PT"/>
          <w14:ligatures w14:val="none"/>
        </w:rPr>
        <w:br/>
      </w:r>
      <w:r w:rsidRPr="006C4AC3">
        <w:rPr>
          <w:rFonts w:eastAsia="Times New Roman" w:cs="Times New Roman"/>
          <w:b/>
          <w:bCs/>
          <w:kern w:val="0"/>
          <w:sz w:val="24"/>
          <w:szCs w:val="24"/>
          <w:lang w:val="en-US" w:eastAsia="pt-PT"/>
          <w14:ligatures w14:val="none"/>
        </w:rPr>
        <w:t>2023 Methods for Analysis and Quantification of Power System Resilience-IEEE.pdf</w:t>
      </w:r>
    </w:p>
    <w:p w14:paraId="218AFCD4" w14:textId="77777777" w:rsidR="006C4AC3" w:rsidRPr="006C4AC3" w:rsidRDefault="006C4AC3" w:rsidP="006C4AC3">
      <w:pPr>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pict w14:anchorId="54B841B2">
          <v:rect id="_x0000_i1025" style="width:0;height:1.5pt" o:hralign="center" o:hrstd="t" o:hr="t" fillcolor="#a0a0a0" stroked="f"/>
        </w:pict>
      </w:r>
    </w:p>
    <w:p w14:paraId="6C121E90" w14:textId="77777777" w:rsidR="006C4AC3" w:rsidRPr="006C4AC3" w:rsidRDefault="006C4AC3" w:rsidP="006C4AC3">
      <w:pPr>
        <w:numPr>
          <w:ilvl w:val="0"/>
          <w:numId w:val="1"/>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Foco real do artigo</w:t>
      </w:r>
    </w:p>
    <w:p w14:paraId="0E2B7A71"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 xml:space="preserve">Este trabalho é o </w:t>
      </w:r>
      <w:r w:rsidRPr="006C4AC3">
        <w:rPr>
          <w:rFonts w:eastAsia="Times New Roman" w:cs="Times New Roman"/>
          <w:b/>
          <w:bCs/>
          <w:kern w:val="0"/>
          <w:sz w:val="24"/>
          <w:szCs w:val="24"/>
          <w:lang w:eastAsia="pt-PT"/>
          <w14:ligatures w14:val="none"/>
        </w:rPr>
        <w:t xml:space="preserve">documento de referência oficial do IEEE PES </w:t>
      </w:r>
      <w:proofErr w:type="spellStart"/>
      <w:r w:rsidRPr="006C4AC3">
        <w:rPr>
          <w:rFonts w:eastAsia="Times New Roman" w:cs="Times New Roman"/>
          <w:b/>
          <w:bCs/>
          <w:kern w:val="0"/>
          <w:sz w:val="24"/>
          <w:szCs w:val="24"/>
          <w:lang w:eastAsia="pt-PT"/>
          <w14:ligatures w14:val="none"/>
        </w:rPr>
        <w:t>Task</w:t>
      </w:r>
      <w:proofErr w:type="spellEnd"/>
      <w:r w:rsidRPr="006C4AC3">
        <w:rPr>
          <w:rFonts w:eastAsia="Times New Roman" w:cs="Times New Roman"/>
          <w:b/>
          <w:bCs/>
          <w:kern w:val="0"/>
          <w:sz w:val="24"/>
          <w:szCs w:val="24"/>
          <w:lang w:eastAsia="pt-PT"/>
          <w14:ligatures w14:val="none"/>
        </w:rPr>
        <w:t xml:space="preserve"> Force sobre Resiliência em Sistemas Elétricos</w:t>
      </w:r>
      <w:r w:rsidRPr="006C4AC3">
        <w:rPr>
          <w:rFonts w:eastAsia="Times New Roman" w:cs="Times New Roman"/>
          <w:kern w:val="0"/>
          <w:sz w:val="24"/>
          <w:szCs w:val="24"/>
          <w:lang w:eastAsia="pt-PT"/>
          <w14:ligatures w14:val="none"/>
        </w:rPr>
        <w:t>.</w:t>
      </w:r>
      <w:r w:rsidRPr="006C4AC3">
        <w:rPr>
          <w:rFonts w:eastAsia="Times New Roman" w:cs="Times New Roman"/>
          <w:kern w:val="0"/>
          <w:sz w:val="24"/>
          <w:szCs w:val="24"/>
          <w:lang w:eastAsia="pt-PT"/>
          <w14:ligatures w14:val="none"/>
        </w:rPr>
        <w:br/>
        <w:t>Seu objetivo é:</w:t>
      </w:r>
    </w:p>
    <w:p w14:paraId="35050BE8" w14:textId="77777777" w:rsidR="006C4AC3" w:rsidRPr="006C4AC3" w:rsidRDefault="006C4AC3" w:rsidP="006C4AC3">
      <w:pPr>
        <w:numPr>
          <w:ilvl w:val="0"/>
          <w:numId w:val="2"/>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definir formalmente o conceito de resiliência em sistemas elétricos;</w:t>
      </w:r>
    </w:p>
    <w:p w14:paraId="1DA6885E" w14:textId="77777777" w:rsidR="006C4AC3" w:rsidRPr="006C4AC3" w:rsidRDefault="006C4AC3" w:rsidP="006C4AC3">
      <w:pPr>
        <w:numPr>
          <w:ilvl w:val="0"/>
          <w:numId w:val="2"/>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diferenciá-lo de confiabilidade, robustez, segurança e adequação;</w:t>
      </w:r>
    </w:p>
    <w:p w14:paraId="18CA43C2" w14:textId="77777777" w:rsidR="006C4AC3" w:rsidRPr="006C4AC3" w:rsidRDefault="006C4AC3" w:rsidP="006C4AC3">
      <w:pPr>
        <w:numPr>
          <w:ilvl w:val="0"/>
          <w:numId w:val="2"/>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estruturar o ciclo completo da resiliência:</w:t>
      </w:r>
    </w:p>
    <w:p w14:paraId="22963981" w14:textId="77777777" w:rsidR="006C4AC3" w:rsidRPr="006C4AC3" w:rsidRDefault="006C4AC3" w:rsidP="006C4AC3">
      <w:pPr>
        <w:numPr>
          <w:ilvl w:val="1"/>
          <w:numId w:val="2"/>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antes do evento,</w:t>
      </w:r>
    </w:p>
    <w:p w14:paraId="7828BD09" w14:textId="77777777" w:rsidR="006C4AC3" w:rsidRPr="006C4AC3" w:rsidRDefault="006C4AC3" w:rsidP="006C4AC3">
      <w:pPr>
        <w:numPr>
          <w:ilvl w:val="1"/>
          <w:numId w:val="2"/>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durante o evento,</w:t>
      </w:r>
    </w:p>
    <w:p w14:paraId="4DE904CB" w14:textId="77777777" w:rsidR="006C4AC3" w:rsidRPr="006C4AC3" w:rsidRDefault="006C4AC3" w:rsidP="006C4AC3">
      <w:pPr>
        <w:numPr>
          <w:ilvl w:val="1"/>
          <w:numId w:val="2"/>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após o evento;</w:t>
      </w:r>
    </w:p>
    <w:p w14:paraId="7F69C9C4" w14:textId="77777777" w:rsidR="006C4AC3" w:rsidRPr="006C4AC3" w:rsidRDefault="006C4AC3" w:rsidP="006C4AC3">
      <w:pPr>
        <w:numPr>
          <w:ilvl w:val="0"/>
          <w:numId w:val="2"/>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apresentar métodos de quantificação, métricas e abordagens econômicas;</w:t>
      </w:r>
    </w:p>
    <w:p w14:paraId="186E653B" w14:textId="77777777" w:rsidR="006C4AC3" w:rsidRPr="006C4AC3" w:rsidRDefault="006C4AC3" w:rsidP="006C4AC3">
      <w:pPr>
        <w:numPr>
          <w:ilvl w:val="0"/>
          <w:numId w:val="2"/>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integrar planejamento, operação, restauração e aprendizagem.</w:t>
      </w:r>
    </w:p>
    <w:p w14:paraId="5E2E5A2E"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 xml:space="preserve">É um artigo </w:t>
      </w:r>
      <w:r w:rsidRPr="006C4AC3">
        <w:rPr>
          <w:rFonts w:eastAsia="Times New Roman" w:cs="Times New Roman"/>
          <w:b/>
          <w:bCs/>
          <w:kern w:val="0"/>
          <w:sz w:val="24"/>
          <w:szCs w:val="24"/>
          <w:lang w:eastAsia="pt-PT"/>
          <w14:ligatures w14:val="none"/>
        </w:rPr>
        <w:t>fundacional e normativo</w:t>
      </w:r>
      <w:r w:rsidRPr="006C4AC3">
        <w:rPr>
          <w:rFonts w:eastAsia="Times New Roman" w:cs="Times New Roman"/>
          <w:kern w:val="0"/>
          <w:sz w:val="24"/>
          <w:szCs w:val="24"/>
          <w:lang w:eastAsia="pt-PT"/>
          <w14:ligatures w14:val="none"/>
        </w:rPr>
        <w:t>, não um estudo de caso técnico específico.</w:t>
      </w:r>
    </w:p>
    <w:p w14:paraId="33467712" w14:textId="77777777" w:rsidR="006C4AC3" w:rsidRPr="006C4AC3" w:rsidRDefault="006C4AC3" w:rsidP="006C4AC3">
      <w:pPr>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pict w14:anchorId="3BBD1D6F">
          <v:rect id="_x0000_i1026" style="width:0;height:1.5pt" o:hralign="center" o:hrstd="t" o:hr="t" fillcolor="#a0a0a0" stroked="f"/>
        </w:pict>
      </w:r>
    </w:p>
    <w:p w14:paraId="3152B7A5" w14:textId="77777777" w:rsidR="006C4AC3" w:rsidRPr="006C4AC3" w:rsidRDefault="006C4AC3" w:rsidP="006C4AC3">
      <w:pPr>
        <w:numPr>
          <w:ilvl w:val="0"/>
          <w:numId w:val="3"/>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Contribuições técnicas centrais</w:t>
      </w:r>
    </w:p>
    <w:p w14:paraId="4D5C0111"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2.1 Definição oficial de resiliência</w:t>
      </w:r>
    </w:p>
    <w:p w14:paraId="5DA1D7FE"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Na Secção III-A, o artigo define:</w:t>
      </w:r>
    </w:p>
    <w:p w14:paraId="24E81DEA" w14:textId="77777777" w:rsidR="006C4AC3" w:rsidRPr="006C4AC3" w:rsidRDefault="006C4AC3" w:rsidP="006C4AC3">
      <w:pPr>
        <w:spacing w:before="100" w:beforeAutospacing="1" w:after="100" w:afterAutospacing="1"/>
        <w:rPr>
          <w:rFonts w:eastAsia="Times New Roman" w:cs="Times New Roman"/>
          <w:kern w:val="0"/>
          <w:sz w:val="24"/>
          <w:szCs w:val="24"/>
          <w:lang w:val="en-US" w:eastAsia="pt-PT"/>
          <w14:ligatures w14:val="none"/>
        </w:rPr>
      </w:pPr>
      <w:r w:rsidRPr="006C4AC3">
        <w:rPr>
          <w:rFonts w:eastAsia="Times New Roman" w:cs="Times New Roman"/>
          <w:kern w:val="0"/>
          <w:sz w:val="24"/>
          <w:szCs w:val="24"/>
          <w:lang w:val="en-US" w:eastAsia="pt-PT"/>
          <w14:ligatures w14:val="none"/>
        </w:rPr>
        <w:t xml:space="preserve">“Power system resilience is the ability to limit the extent, system impact, and duration of degradation in order to sustain critical services following an extraordinary event… including the capacity to anticipate, absorb, recover, adapt and learn.” </w:t>
      </w:r>
    </w:p>
    <w:p w14:paraId="77D07066" w14:textId="77777777" w:rsidR="006C4AC3" w:rsidRPr="006C4AC3" w:rsidRDefault="006C4AC3" w:rsidP="006C4AC3">
      <w:pPr>
        <w:spacing w:before="100" w:beforeAutospacing="1" w:after="100" w:afterAutospacing="1"/>
        <w:rPr>
          <w:rFonts w:eastAsia="Times New Roman" w:cs="Times New Roman"/>
          <w:kern w:val="0"/>
          <w:sz w:val="24"/>
          <w:szCs w:val="24"/>
          <w:lang w:val="en-US" w:eastAsia="pt-PT"/>
          <w14:ligatures w14:val="none"/>
        </w:rPr>
      </w:pPr>
      <w:r w:rsidRPr="006C4AC3">
        <w:rPr>
          <w:rFonts w:eastAsia="Times New Roman" w:cs="Times New Roman"/>
          <w:kern w:val="0"/>
          <w:sz w:val="24"/>
          <w:szCs w:val="24"/>
          <w:lang w:val="en-US" w:eastAsia="pt-PT"/>
          <w14:ligatures w14:val="none"/>
        </w:rPr>
        <w:t>2023 Methods for Analysis and Q…</w:t>
      </w:r>
    </w:p>
    <w:p w14:paraId="1274E375"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Esta é hoje a definição mais aceita internacionalmente para resiliência em sistemas elétricos.</w:t>
      </w:r>
    </w:p>
    <w:p w14:paraId="2946B049" w14:textId="77777777" w:rsidR="006C4AC3" w:rsidRPr="006C4AC3" w:rsidRDefault="006C4AC3" w:rsidP="006C4AC3">
      <w:pPr>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lastRenderedPageBreak/>
        <w:pict w14:anchorId="611F0802">
          <v:rect id="_x0000_i1027" style="width:0;height:1.5pt" o:hralign="center" o:hrstd="t" o:hr="t" fillcolor="#a0a0a0" stroked="f"/>
        </w:pict>
      </w:r>
    </w:p>
    <w:p w14:paraId="17E59D84"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2.2 Separação formal entre confiabilidade, robustez e resiliência</w:t>
      </w:r>
    </w:p>
    <w:p w14:paraId="5ED87EE2"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O artigo estabelece: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5620"/>
      </w:tblGrid>
      <w:tr w:rsidR="006C4AC3" w:rsidRPr="006C4AC3" w14:paraId="327892BF" w14:textId="77777777">
        <w:trPr>
          <w:tblHeader/>
          <w:tblCellSpacing w:w="15" w:type="dxa"/>
        </w:trPr>
        <w:tc>
          <w:tcPr>
            <w:tcW w:w="0" w:type="auto"/>
            <w:vAlign w:val="center"/>
            <w:hideMark/>
          </w:tcPr>
          <w:p w14:paraId="32888B34" w14:textId="77777777" w:rsidR="006C4AC3" w:rsidRPr="006C4AC3" w:rsidRDefault="006C4AC3" w:rsidP="006C4AC3">
            <w:pPr>
              <w:jc w:val="center"/>
              <w:rPr>
                <w:rFonts w:eastAsia="Times New Roman" w:cs="Times New Roman"/>
                <w:b/>
                <w:bCs/>
                <w:kern w:val="0"/>
                <w:sz w:val="24"/>
                <w:szCs w:val="24"/>
                <w:lang w:eastAsia="pt-PT"/>
                <w14:ligatures w14:val="none"/>
              </w:rPr>
            </w:pPr>
            <w:r w:rsidRPr="006C4AC3">
              <w:rPr>
                <w:rFonts w:eastAsia="Times New Roman" w:cs="Times New Roman"/>
                <w:b/>
                <w:bCs/>
                <w:kern w:val="0"/>
                <w:sz w:val="24"/>
                <w:szCs w:val="24"/>
                <w:lang w:eastAsia="pt-PT"/>
                <w14:ligatures w14:val="none"/>
              </w:rPr>
              <w:t>Conceito</w:t>
            </w:r>
          </w:p>
        </w:tc>
        <w:tc>
          <w:tcPr>
            <w:tcW w:w="0" w:type="auto"/>
            <w:vAlign w:val="center"/>
            <w:hideMark/>
          </w:tcPr>
          <w:p w14:paraId="3B512155" w14:textId="77777777" w:rsidR="006C4AC3" w:rsidRPr="006C4AC3" w:rsidRDefault="006C4AC3" w:rsidP="006C4AC3">
            <w:pPr>
              <w:jc w:val="center"/>
              <w:rPr>
                <w:rFonts w:eastAsia="Times New Roman" w:cs="Times New Roman"/>
                <w:b/>
                <w:bCs/>
                <w:kern w:val="0"/>
                <w:sz w:val="24"/>
                <w:szCs w:val="24"/>
                <w:lang w:eastAsia="pt-PT"/>
                <w14:ligatures w14:val="none"/>
              </w:rPr>
            </w:pPr>
            <w:r w:rsidRPr="006C4AC3">
              <w:rPr>
                <w:rFonts w:eastAsia="Times New Roman" w:cs="Times New Roman"/>
                <w:b/>
                <w:bCs/>
                <w:kern w:val="0"/>
                <w:sz w:val="24"/>
                <w:szCs w:val="24"/>
                <w:lang w:eastAsia="pt-PT"/>
                <w14:ligatures w14:val="none"/>
              </w:rPr>
              <w:t>Natureza</w:t>
            </w:r>
          </w:p>
        </w:tc>
      </w:tr>
      <w:tr w:rsidR="006C4AC3" w:rsidRPr="006C4AC3" w14:paraId="3BB7CB8F" w14:textId="77777777">
        <w:trPr>
          <w:tblCellSpacing w:w="15" w:type="dxa"/>
        </w:trPr>
        <w:tc>
          <w:tcPr>
            <w:tcW w:w="0" w:type="auto"/>
            <w:vAlign w:val="center"/>
            <w:hideMark/>
          </w:tcPr>
          <w:p w14:paraId="56A26D32" w14:textId="77777777" w:rsidR="006C4AC3" w:rsidRPr="006C4AC3" w:rsidRDefault="006C4AC3" w:rsidP="006C4AC3">
            <w:pPr>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Confiabilidade</w:t>
            </w:r>
          </w:p>
        </w:tc>
        <w:tc>
          <w:tcPr>
            <w:tcW w:w="0" w:type="auto"/>
            <w:vAlign w:val="center"/>
            <w:hideMark/>
          </w:tcPr>
          <w:p w14:paraId="3043FFC4" w14:textId="77777777" w:rsidR="006C4AC3" w:rsidRPr="006C4AC3" w:rsidRDefault="006C4AC3" w:rsidP="006C4AC3">
            <w:pPr>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Eventos frequentes, baixo impacto (HPLI)</w:t>
            </w:r>
          </w:p>
        </w:tc>
      </w:tr>
      <w:tr w:rsidR="006C4AC3" w:rsidRPr="006C4AC3" w14:paraId="30293335" w14:textId="77777777">
        <w:trPr>
          <w:tblCellSpacing w:w="15" w:type="dxa"/>
        </w:trPr>
        <w:tc>
          <w:tcPr>
            <w:tcW w:w="0" w:type="auto"/>
            <w:vAlign w:val="center"/>
            <w:hideMark/>
          </w:tcPr>
          <w:p w14:paraId="1509001F" w14:textId="77777777" w:rsidR="006C4AC3" w:rsidRPr="006C4AC3" w:rsidRDefault="006C4AC3" w:rsidP="006C4AC3">
            <w:pPr>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Robustez</w:t>
            </w:r>
          </w:p>
        </w:tc>
        <w:tc>
          <w:tcPr>
            <w:tcW w:w="0" w:type="auto"/>
            <w:vAlign w:val="center"/>
            <w:hideMark/>
          </w:tcPr>
          <w:p w14:paraId="15567091" w14:textId="77777777" w:rsidR="006C4AC3" w:rsidRPr="006C4AC3" w:rsidRDefault="006C4AC3" w:rsidP="006C4AC3">
            <w:pPr>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Capacidade estrutural intrínseca, independente do cenário</w:t>
            </w:r>
          </w:p>
        </w:tc>
      </w:tr>
      <w:tr w:rsidR="006C4AC3" w:rsidRPr="006C4AC3" w14:paraId="33725357" w14:textId="77777777">
        <w:trPr>
          <w:tblCellSpacing w:w="15" w:type="dxa"/>
        </w:trPr>
        <w:tc>
          <w:tcPr>
            <w:tcW w:w="0" w:type="auto"/>
            <w:vAlign w:val="center"/>
            <w:hideMark/>
          </w:tcPr>
          <w:p w14:paraId="379E4B80" w14:textId="77777777" w:rsidR="006C4AC3" w:rsidRPr="006C4AC3" w:rsidRDefault="006C4AC3" w:rsidP="006C4AC3">
            <w:pPr>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Resiliência</w:t>
            </w:r>
          </w:p>
        </w:tc>
        <w:tc>
          <w:tcPr>
            <w:tcW w:w="0" w:type="auto"/>
            <w:vAlign w:val="center"/>
            <w:hideMark/>
          </w:tcPr>
          <w:p w14:paraId="4EC33FC5" w14:textId="77777777" w:rsidR="006C4AC3" w:rsidRPr="006C4AC3" w:rsidRDefault="006C4AC3" w:rsidP="006C4AC3">
            <w:pPr>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Eventos raros, alto impacto (HILP) + recuperação ativa</w:t>
            </w:r>
          </w:p>
        </w:tc>
      </w:tr>
    </w:tbl>
    <w:p w14:paraId="43F4043A"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Explicitamente:</w:t>
      </w:r>
    </w:p>
    <w:p w14:paraId="0352F3D3"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proofErr w:type="spellStart"/>
      <w:r w:rsidRPr="006C4AC3">
        <w:rPr>
          <w:rFonts w:eastAsia="Times New Roman" w:cs="Times New Roman"/>
          <w:kern w:val="0"/>
          <w:sz w:val="24"/>
          <w:szCs w:val="24"/>
          <w:lang w:eastAsia="pt-PT"/>
          <w14:ligatures w14:val="none"/>
        </w:rPr>
        <w:t>Robustness</w:t>
      </w:r>
      <w:proofErr w:type="spellEnd"/>
      <w:r w:rsidRPr="006C4AC3">
        <w:rPr>
          <w:rFonts w:eastAsia="Times New Roman" w:cs="Times New Roman"/>
          <w:kern w:val="0"/>
          <w:sz w:val="24"/>
          <w:szCs w:val="24"/>
          <w:lang w:eastAsia="pt-PT"/>
          <w14:ligatures w14:val="none"/>
        </w:rPr>
        <w:t xml:space="preserve"> = resistir.</w:t>
      </w:r>
      <w:r w:rsidRPr="006C4AC3">
        <w:rPr>
          <w:rFonts w:eastAsia="Times New Roman" w:cs="Times New Roman"/>
          <w:kern w:val="0"/>
          <w:sz w:val="24"/>
          <w:szCs w:val="24"/>
          <w:lang w:eastAsia="pt-PT"/>
          <w14:ligatures w14:val="none"/>
        </w:rPr>
        <w:br/>
      </w:r>
      <w:proofErr w:type="spellStart"/>
      <w:r w:rsidRPr="006C4AC3">
        <w:rPr>
          <w:rFonts w:eastAsia="Times New Roman" w:cs="Times New Roman"/>
          <w:kern w:val="0"/>
          <w:sz w:val="24"/>
          <w:szCs w:val="24"/>
          <w:lang w:eastAsia="pt-PT"/>
          <w14:ligatures w14:val="none"/>
        </w:rPr>
        <w:t>Resilience</w:t>
      </w:r>
      <w:proofErr w:type="spellEnd"/>
      <w:r w:rsidRPr="006C4AC3">
        <w:rPr>
          <w:rFonts w:eastAsia="Times New Roman" w:cs="Times New Roman"/>
          <w:kern w:val="0"/>
          <w:sz w:val="24"/>
          <w:szCs w:val="24"/>
          <w:lang w:eastAsia="pt-PT"/>
          <w14:ligatures w14:val="none"/>
        </w:rPr>
        <w:t xml:space="preserve"> = resistir + recuperar + aprender. </w:t>
      </w:r>
    </w:p>
    <w:p w14:paraId="20609575" w14:textId="77777777" w:rsidR="006C4AC3" w:rsidRPr="006C4AC3" w:rsidRDefault="006C4AC3" w:rsidP="006C4AC3">
      <w:pPr>
        <w:spacing w:before="100" w:beforeAutospacing="1" w:after="100" w:afterAutospacing="1"/>
        <w:rPr>
          <w:rFonts w:eastAsia="Times New Roman" w:cs="Times New Roman"/>
          <w:kern w:val="0"/>
          <w:sz w:val="24"/>
          <w:szCs w:val="24"/>
          <w:lang w:val="en-US" w:eastAsia="pt-PT"/>
          <w14:ligatures w14:val="none"/>
        </w:rPr>
      </w:pPr>
      <w:r w:rsidRPr="006C4AC3">
        <w:rPr>
          <w:rFonts w:eastAsia="Times New Roman" w:cs="Times New Roman"/>
          <w:kern w:val="0"/>
          <w:sz w:val="24"/>
          <w:szCs w:val="24"/>
          <w:lang w:val="en-US" w:eastAsia="pt-PT"/>
          <w14:ligatures w14:val="none"/>
        </w:rPr>
        <w:t>2023 Methods for Analysis and Q…</w:t>
      </w:r>
    </w:p>
    <w:p w14:paraId="34527F00"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 xml:space="preserve">Isto fundamenta matematicamente o motivo pelo qual sua tese </w:t>
      </w:r>
      <w:r w:rsidRPr="006C4AC3">
        <w:rPr>
          <w:rFonts w:eastAsia="Times New Roman" w:cs="Times New Roman"/>
          <w:b/>
          <w:bCs/>
          <w:kern w:val="0"/>
          <w:sz w:val="24"/>
          <w:szCs w:val="24"/>
          <w:lang w:eastAsia="pt-PT"/>
          <w14:ligatures w14:val="none"/>
        </w:rPr>
        <w:t>não pode ser tratada como confiabilidade clássica</w:t>
      </w:r>
      <w:r w:rsidRPr="006C4AC3">
        <w:rPr>
          <w:rFonts w:eastAsia="Times New Roman" w:cs="Times New Roman"/>
          <w:kern w:val="0"/>
          <w:sz w:val="24"/>
          <w:szCs w:val="24"/>
          <w:lang w:eastAsia="pt-PT"/>
          <w14:ligatures w14:val="none"/>
        </w:rPr>
        <w:t>.</w:t>
      </w:r>
    </w:p>
    <w:p w14:paraId="5BDEF725" w14:textId="77777777" w:rsidR="006C4AC3" w:rsidRPr="006C4AC3" w:rsidRDefault="006C4AC3" w:rsidP="006C4AC3">
      <w:pPr>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pict w14:anchorId="7E832903">
          <v:rect id="_x0000_i1028" style="width:0;height:1.5pt" o:hralign="center" o:hrstd="t" o:hr="t" fillcolor="#a0a0a0" stroked="f"/>
        </w:pict>
      </w:r>
    </w:p>
    <w:p w14:paraId="13BC1F9C"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2.3 Estrutura temporal completa da resiliência</w:t>
      </w:r>
    </w:p>
    <w:p w14:paraId="33155CFE"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Na Figura 1 e Figura 2 (págs. 3–4), o artigo apresenta a curva completa:</w:t>
      </w:r>
    </w:p>
    <w:p w14:paraId="559D5463" w14:textId="77777777" w:rsidR="006C4AC3" w:rsidRPr="006C4AC3" w:rsidRDefault="006C4AC3" w:rsidP="006C4AC3">
      <w:pPr>
        <w:numPr>
          <w:ilvl w:val="0"/>
          <w:numId w:val="4"/>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pré-evento: antecipar, prevenir;</w:t>
      </w:r>
    </w:p>
    <w:p w14:paraId="0FBB4B2F" w14:textId="77777777" w:rsidR="006C4AC3" w:rsidRPr="006C4AC3" w:rsidRDefault="006C4AC3" w:rsidP="006C4AC3">
      <w:pPr>
        <w:numPr>
          <w:ilvl w:val="0"/>
          <w:numId w:val="4"/>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durante o evento: resistir, absorver, adaptar;</w:t>
      </w:r>
    </w:p>
    <w:p w14:paraId="1F400F29" w14:textId="77777777" w:rsidR="006C4AC3" w:rsidRPr="006C4AC3" w:rsidRDefault="006C4AC3" w:rsidP="006C4AC3">
      <w:pPr>
        <w:numPr>
          <w:ilvl w:val="0"/>
          <w:numId w:val="4"/>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pós-evento: restaurar, recuperar, aprender.</w:t>
      </w:r>
    </w:p>
    <w:p w14:paraId="77925D80"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Com duas curvas distintas:</w:t>
      </w:r>
    </w:p>
    <w:p w14:paraId="4519EDE3" w14:textId="77777777" w:rsidR="006C4AC3" w:rsidRPr="006C4AC3" w:rsidRDefault="006C4AC3" w:rsidP="006C4AC3">
      <w:pPr>
        <w:numPr>
          <w:ilvl w:val="0"/>
          <w:numId w:val="5"/>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desempenho da infraestrutura;</w:t>
      </w:r>
    </w:p>
    <w:p w14:paraId="0EC7F702" w14:textId="77777777" w:rsidR="006C4AC3" w:rsidRPr="006C4AC3" w:rsidRDefault="006C4AC3" w:rsidP="006C4AC3">
      <w:pPr>
        <w:numPr>
          <w:ilvl w:val="0"/>
          <w:numId w:val="5"/>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serviço entregue ao consumidor.</w:t>
      </w:r>
    </w:p>
    <w:p w14:paraId="285BBD87"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 xml:space="preserve">Este conceito é absolutamente central para a construção do seu índice de resiliência de LT. </w:t>
      </w:r>
    </w:p>
    <w:p w14:paraId="6282A78D" w14:textId="77777777" w:rsidR="006C4AC3" w:rsidRPr="006C4AC3" w:rsidRDefault="006C4AC3" w:rsidP="006C4AC3">
      <w:pPr>
        <w:spacing w:before="100" w:beforeAutospacing="1" w:after="100" w:afterAutospacing="1"/>
        <w:rPr>
          <w:rFonts w:eastAsia="Times New Roman" w:cs="Times New Roman"/>
          <w:kern w:val="0"/>
          <w:sz w:val="24"/>
          <w:szCs w:val="24"/>
          <w:lang w:val="en-US" w:eastAsia="pt-PT"/>
          <w14:ligatures w14:val="none"/>
        </w:rPr>
      </w:pPr>
      <w:r w:rsidRPr="006C4AC3">
        <w:rPr>
          <w:rFonts w:eastAsia="Times New Roman" w:cs="Times New Roman"/>
          <w:kern w:val="0"/>
          <w:sz w:val="24"/>
          <w:szCs w:val="24"/>
          <w:lang w:val="en-US" w:eastAsia="pt-PT"/>
          <w14:ligatures w14:val="none"/>
        </w:rPr>
        <w:t>2023 Methods for Analysis and Q…</w:t>
      </w:r>
    </w:p>
    <w:p w14:paraId="4962BF50" w14:textId="77777777" w:rsidR="006C4AC3" w:rsidRPr="006C4AC3" w:rsidRDefault="006C4AC3" w:rsidP="006C4AC3">
      <w:pPr>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pict w14:anchorId="08C954B3">
          <v:rect id="_x0000_i1029" style="width:0;height:1.5pt" o:hralign="center" o:hrstd="t" o:hr="t" fillcolor="#a0a0a0" stroked="f"/>
        </w:pict>
      </w:r>
    </w:p>
    <w:p w14:paraId="6C5239E6"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2.4 Inclusão explícita de fragilidade física</w:t>
      </w:r>
    </w:p>
    <w:p w14:paraId="29842497"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Na Secção V-D, o artigo afirma:</w:t>
      </w:r>
    </w:p>
    <w:p w14:paraId="4D7C8E65"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 xml:space="preserve">Para eventos como terremotos, ventos extremos e gelo, utilizam-se </w:t>
      </w:r>
      <w:r w:rsidRPr="006C4AC3">
        <w:rPr>
          <w:rFonts w:eastAsia="Times New Roman" w:cs="Times New Roman"/>
          <w:b/>
          <w:bCs/>
          <w:kern w:val="0"/>
          <w:sz w:val="24"/>
          <w:szCs w:val="24"/>
          <w:lang w:eastAsia="pt-PT"/>
          <w14:ligatures w14:val="none"/>
        </w:rPr>
        <w:t>curvas de fragilidade</w:t>
      </w:r>
      <w:r w:rsidRPr="006C4AC3">
        <w:rPr>
          <w:rFonts w:eastAsia="Times New Roman" w:cs="Times New Roman"/>
          <w:kern w:val="0"/>
          <w:sz w:val="24"/>
          <w:szCs w:val="24"/>
          <w:lang w:eastAsia="pt-PT"/>
          <w14:ligatures w14:val="none"/>
        </w:rPr>
        <w:t xml:space="preserve"> para modelar </w:t>
      </w:r>
      <w:proofErr w:type="spellStart"/>
      <w:r w:rsidRPr="006C4AC3">
        <w:rPr>
          <w:rFonts w:eastAsia="Times New Roman" w:cs="Times New Roman"/>
          <w:kern w:val="0"/>
          <w:sz w:val="24"/>
          <w:szCs w:val="24"/>
          <w:lang w:eastAsia="pt-PT"/>
          <w14:ligatures w14:val="none"/>
        </w:rPr>
        <w:t>probabilisticamente</w:t>
      </w:r>
      <w:proofErr w:type="spellEnd"/>
      <w:r w:rsidRPr="006C4AC3">
        <w:rPr>
          <w:rFonts w:eastAsia="Times New Roman" w:cs="Times New Roman"/>
          <w:kern w:val="0"/>
          <w:sz w:val="24"/>
          <w:szCs w:val="24"/>
          <w:lang w:eastAsia="pt-PT"/>
          <w14:ligatures w14:val="none"/>
        </w:rPr>
        <w:t xml:space="preserve"> o dano dos componentes físicos. </w:t>
      </w:r>
    </w:p>
    <w:p w14:paraId="3E6F94DB" w14:textId="77777777" w:rsidR="006C4AC3" w:rsidRPr="006C4AC3" w:rsidRDefault="006C4AC3" w:rsidP="006C4AC3">
      <w:pPr>
        <w:spacing w:before="100" w:beforeAutospacing="1" w:after="100" w:afterAutospacing="1"/>
        <w:rPr>
          <w:rFonts w:eastAsia="Times New Roman" w:cs="Times New Roman"/>
          <w:kern w:val="0"/>
          <w:sz w:val="24"/>
          <w:szCs w:val="24"/>
          <w:lang w:val="en-US" w:eastAsia="pt-PT"/>
          <w14:ligatures w14:val="none"/>
        </w:rPr>
      </w:pPr>
      <w:r w:rsidRPr="006C4AC3">
        <w:rPr>
          <w:rFonts w:eastAsia="Times New Roman" w:cs="Times New Roman"/>
          <w:kern w:val="0"/>
          <w:sz w:val="24"/>
          <w:szCs w:val="24"/>
          <w:lang w:val="en-US" w:eastAsia="pt-PT"/>
          <w14:ligatures w14:val="none"/>
        </w:rPr>
        <w:lastRenderedPageBreak/>
        <w:t>2023 Methods for Analysis and Q…</w:t>
      </w:r>
    </w:p>
    <w:p w14:paraId="59AE5911"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E distingue:</w:t>
      </w:r>
    </w:p>
    <w:p w14:paraId="109BD445" w14:textId="77777777" w:rsidR="006C4AC3" w:rsidRPr="006C4AC3" w:rsidRDefault="006C4AC3" w:rsidP="006C4AC3">
      <w:pPr>
        <w:numPr>
          <w:ilvl w:val="0"/>
          <w:numId w:val="6"/>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falhas iniciais por dano físico;</w:t>
      </w:r>
    </w:p>
    <w:p w14:paraId="452B0E8B" w14:textId="77777777" w:rsidR="006C4AC3" w:rsidRPr="006C4AC3" w:rsidRDefault="006C4AC3" w:rsidP="006C4AC3">
      <w:pPr>
        <w:numPr>
          <w:ilvl w:val="0"/>
          <w:numId w:val="6"/>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falhas em cascata por proteção e instabilidade.</w:t>
      </w:r>
    </w:p>
    <w:p w14:paraId="1FD9BC2C"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Isso encaixa perfeitamente no seu eixo:</w:t>
      </w:r>
      <w:r w:rsidRPr="006C4AC3">
        <w:rPr>
          <w:rFonts w:eastAsia="Times New Roman" w:cs="Times New Roman"/>
          <w:kern w:val="0"/>
          <w:sz w:val="24"/>
          <w:szCs w:val="24"/>
          <w:lang w:eastAsia="pt-PT"/>
          <w14:ligatures w14:val="none"/>
        </w:rPr>
        <w:br/>
      </w:r>
      <w:r w:rsidRPr="006C4AC3">
        <w:rPr>
          <w:rFonts w:eastAsia="Times New Roman" w:cs="Times New Roman"/>
          <w:b/>
          <w:bCs/>
          <w:kern w:val="0"/>
          <w:sz w:val="24"/>
          <w:szCs w:val="24"/>
          <w:lang w:eastAsia="pt-PT"/>
          <w14:ligatures w14:val="none"/>
        </w:rPr>
        <w:t>clima → fragilidade → falha física → resiliência</w:t>
      </w:r>
      <w:r w:rsidRPr="006C4AC3">
        <w:rPr>
          <w:rFonts w:eastAsia="Times New Roman" w:cs="Times New Roman"/>
          <w:kern w:val="0"/>
          <w:sz w:val="24"/>
          <w:szCs w:val="24"/>
          <w:lang w:eastAsia="pt-PT"/>
          <w14:ligatures w14:val="none"/>
        </w:rPr>
        <w:t>.</w:t>
      </w:r>
    </w:p>
    <w:p w14:paraId="7F149702" w14:textId="77777777" w:rsidR="006C4AC3" w:rsidRPr="006C4AC3" w:rsidRDefault="006C4AC3" w:rsidP="006C4AC3">
      <w:pPr>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pict w14:anchorId="2EC30D34">
          <v:rect id="_x0000_i1030" style="width:0;height:1.5pt" o:hralign="center" o:hrstd="t" o:hr="t" fillcolor="#a0a0a0" stroked="f"/>
        </w:pict>
      </w:r>
    </w:p>
    <w:p w14:paraId="53F21C50"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2.5 Quantificação baseada em curvas de resiliência reais</w:t>
      </w:r>
    </w:p>
    <w:p w14:paraId="0A351B2F"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Na Secção V-D e Figura 3, o artigo mostra que:</w:t>
      </w:r>
    </w:p>
    <w:p w14:paraId="32607FB0" w14:textId="77777777" w:rsidR="006C4AC3" w:rsidRPr="006C4AC3" w:rsidRDefault="006C4AC3" w:rsidP="006C4AC3">
      <w:pPr>
        <w:numPr>
          <w:ilvl w:val="0"/>
          <w:numId w:val="7"/>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a curva de resiliência real não é trapezoidal ideal;</w:t>
      </w:r>
    </w:p>
    <w:p w14:paraId="3B0F63D2" w14:textId="77777777" w:rsidR="006C4AC3" w:rsidRPr="006C4AC3" w:rsidRDefault="006C4AC3" w:rsidP="006C4AC3">
      <w:pPr>
        <w:numPr>
          <w:ilvl w:val="0"/>
          <w:numId w:val="7"/>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falhas e restauração ocorrem simultaneamente;</w:t>
      </w:r>
    </w:p>
    <w:p w14:paraId="587543CF" w14:textId="77777777" w:rsidR="006C4AC3" w:rsidRPr="006C4AC3" w:rsidRDefault="006C4AC3" w:rsidP="006C4AC3">
      <w:pPr>
        <w:numPr>
          <w:ilvl w:val="0"/>
          <w:numId w:val="7"/>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define processos:</w:t>
      </w:r>
    </w:p>
    <w:p w14:paraId="25B731D8" w14:textId="77777777" w:rsidR="006C4AC3" w:rsidRPr="006C4AC3" w:rsidRDefault="006C4AC3" w:rsidP="006C4AC3">
      <w:pPr>
        <w:numPr>
          <w:ilvl w:val="1"/>
          <w:numId w:val="7"/>
        </w:numPr>
        <w:spacing w:before="100" w:beforeAutospacing="1" w:after="100" w:afterAutospacing="1"/>
        <w:rPr>
          <w:rFonts w:eastAsia="Times New Roman" w:cs="Times New Roman"/>
          <w:kern w:val="0"/>
          <w:sz w:val="24"/>
          <w:szCs w:val="24"/>
          <w:lang w:eastAsia="pt-PT"/>
          <w14:ligatures w14:val="none"/>
        </w:rPr>
      </w:pPr>
      <m:oMath>
        <m:r>
          <w:rPr>
            <w:rFonts w:ascii="Cambria Math" w:eastAsia="Times New Roman" w:hAnsi="Cambria Math" w:cs="Times New Roman"/>
            <w:kern w:val="0"/>
            <w:sz w:val="24"/>
            <w:szCs w:val="24"/>
            <w:lang w:eastAsia="pt-PT"/>
            <w14:ligatures w14:val="none"/>
          </w:rPr>
          <m:t>O(t)</m:t>
        </m:r>
      </m:oMath>
      <w:r w:rsidRPr="006C4AC3">
        <w:rPr>
          <w:rFonts w:eastAsia="Times New Roman" w:cs="Times New Roman"/>
          <w:kern w:val="0"/>
          <w:sz w:val="24"/>
          <w:szCs w:val="24"/>
          <w:lang w:eastAsia="pt-PT"/>
          <w14:ligatures w14:val="none"/>
        </w:rPr>
        <w:t>: outages,</w:t>
      </w:r>
    </w:p>
    <w:p w14:paraId="7FFFF68B" w14:textId="77777777" w:rsidR="006C4AC3" w:rsidRPr="006C4AC3" w:rsidRDefault="006C4AC3" w:rsidP="006C4AC3">
      <w:pPr>
        <w:numPr>
          <w:ilvl w:val="1"/>
          <w:numId w:val="7"/>
        </w:numPr>
        <w:spacing w:before="100" w:beforeAutospacing="1" w:after="100" w:afterAutospacing="1"/>
        <w:rPr>
          <w:rFonts w:eastAsia="Times New Roman" w:cs="Times New Roman"/>
          <w:kern w:val="0"/>
          <w:sz w:val="24"/>
          <w:szCs w:val="24"/>
          <w:lang w:eastAsia="pt-PT"/>
          <w14:ligatures w14:val="none"/>
        </w:rPr>
      </w:pPr>
      <m:oMath>
        <m:r>
          <w:rPr>
            <w:rFonts w:ascii="Cambria Math" w:eastAsia="Times New Roman" w:hAnsi="Cambria Math" w:cs="Times New Roman"/>
            <w:kern w:val="0"/>
            <w:sz w:val="24"/>
            <w:szCs w:val="24"/>
            <w:lang w:eastAsia="pt-PT"/>
            <w14:ligatures w14:val="none"/>
          </w:rPr>
          <m:t>R(t)</m:t>
        </m:r>
      </m:oMath>
      <w:r w:rsidRPr="006C4AC3">
        <w:rPr>
          <w:rFonts w:eastAsia="Times New Roman" w:cs="Times New Roman"/>
          <w:kern w:val="0"/>
          <w:sz w:val="24"/>
          <w:szCs w:val="24"/>
          <w:lang w:eastAsia="pt-PT"/>
          <w14:ligatures w14:val="none"/>
        </w:rPr>
        <w:t>: restores,</w:t>
      </w:r>
    </w:p>
    <w:p w14:paraId="19A232DA" w14:textId="77777777" w:rsidR="006C4AC3" w:rsidRPr="006C4AC3" w:rsidRDefault="006C4AC3" w:rsidP="006C4AC3">
      <w:pPr>
        <w:numPr>
          <w:ilvl w:val="1"/>
          <w:numId w:val="7"/>
        </w:numPr>
        <w:spacing w:before="100" w:beforeAutospacing="1" w:after="100" w:afterAutospacing="1"/>
        <w:rPr>
          <w:rFonts w:eastAsia="Times New Roman" w:cs="Times New Roman"/>
          <w:kern w:val="0"/>
          <w:sz w:val="24"/>
          <w:szCs w:val="24"/>
          <w:lang w:eastAsia="pt-PT"/>
          <w14:ligatures w14:val="none"/>
        </w:rPr>
      </w:pPr>
      <m:oMath>
        <m:r>
          <w:rPr>
            <w:rFonts w:ascii="Cambria Math" w:eastAsia="Times New Roman" w:hAnsi="Cambria Math" w:cs="Times New Roman"/>
            <w:kern w:val="0"/>
            <w:sz w:val="24"/>
            <w:szCs w:val="24"/>
            <w:lang w:eastAsia="pt-PT"/>
            <w14:ligatures w14:val="none"/>
          </w:rPr>
          <m:t>C(t)=R(t)-O(t)</m:t>
        </m:r>
      </m:oMath>
      <w:r w:rsidRPr="006C4AC3">
        <w:rPr>
          <w:rFonts w:eastAsia="Times New Roman" w:cs="Times New Roman"/>
          <w:kern w:val="0"/>
          <w:sz w:val="24"/>
          <w:szCs w:val="24"/>
          <w:lang w:eastAsia="pt-PT"/>
          <w14:ligatures w14:val="none"/>
        </w:rPr>
        <w:t>.</w:t>
      </w:r>
    </w:p>
    <w:p w14:paraId="7E858E83"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 xml:space="preserve">Isto é tecnicamente sofisticado e dá base matemática para métricas físicas de resiliência. </w:t>
      </w:r>
    </w:p>
    <w:p w14:paraId="64B93611" w14:textId="77777777" w:rsidR="006C4AC3" w:rsidRPr="006C4AC3" w:rsidRDefault="006C4AC3" w:rsidP="006C4AC3">
      <w:pPr>
        <w:spacing w:before="100" w:beforeAutospacing="1" w:after="100" w:afterAutospacing="1"/>
        <w:rPr>
          <w:rFonts w:eastAsia="Times New Roman" w:cs="Times New Roman"/>
          <w:kern w:val="0"/>
          <w:sz w:val="24"/>
          <w:szCs w:val="24"/>
          <w:lang w:val="en-US" w:eastAsia="pt-PT"/>
          <w14:ligatures w14:val="none"/>
        </w:rPr>
      </w:pPr>
      <w:r w:rsidRPr="006C4AC3">
        <w:rPr>
          <w:rFonts w:eastAsia="Times New Roman" w:cs="Times New Roman"/>
          <w:kern w:val="0"/>
          <w:sz w:val="24"/>
          <w:szCs w:val="24"/>
          <w:lang w:val="en-US" w:eastAsia="pt-PT"/>
          <w14:ligatures w14:val="none"/>
        </w:rPr>
        <w:t>2023 Methods for Analysis and Q…</w:t>
      </w:r>
    </w:p>
    <w:p w14:paraId="305C1B65" w14:textId="77777777" w:rsidR="006C4AC3" w:rsidRPr="006C4AC3" w:rsidRDefault="006C4AC3" w:rsidP="006C4AC3">
      <w:pPr>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pict w14:anchorId="0BDE43E2">
          <v:rect id="_x0000_i1031" style="width:0;height:1.5pt" o:hralign="center" o:hrstd="t" o:hr="t" fillcolor="#a0a0a0" stroked="f"/>
        </w:pict>
      </w:r>
    </w:p>
    <w:p w14:paraId="5893B6C6"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2.6 Integração econômica da resiliência</w:t>
      </w:r>
    </w:p>
    <w:p w14:paraId="35D7B5E7"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A Secção VI define:</w:t>
      </w:r>
    </w:p>
    <w:p w14:paraId="2F6A2EF1" w14:textId="77777777" w:rsidR="006C4AC3" w:rsidRPr="006C4AC3" w:rsidRDefault="006C4AC3" w:rsidP="006C4AC3">
      <w:pPr>
        <w:numPr>
          <w:ilvl w:val="0"/>
          <w:numId w:val="8"/>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resiliência como “</w:t>
      </w:r>
      <w:proofErr w:type="spellStart"/>
      <w:r w:rsidRPr="006C4AC3">
        <w:rPr>
          <w:rFonts w:eastAsia="Times New Roman" w:cs="Times New Roman"/>
          <w:kern w:val="0"/>
          <w:sz w:val="24"/>
          <w:szCs w:val="24"/>
          <w:lang w:eastAsia="pt-PT"/>
          <w14:ligatures w14:val="none"/>
        </w:rPr>
        <w:t>avoided</w:t>
      </w:r>
      <w:proofErr w:type="spellEnd"/>
      <w:r w:rsidRPr="006C4AC3">
        <w:rPr>
          <w:rFonts w:eastAsia="Times New Roman" w:cs="Times New Roman"/>
          <w:kern w:val="0"/>
          <w:sz w:val="24"/>
          <w:szCs w:val="24"/>
          <w:lang w:eastAsia="pt-PT"/>
          <w14:ligatures w14:val="none"/>
        </w:rPr>
        <w:t xml:space="preserve"> </w:t>
      </w:r>
      <w:proofErr w:type="spellStart"/>
      <w:r w:rsidRPr="006C4AC3">
        <w:rPr>
          <w:rFonts w:eastAsia="Times New Roman" w:cs="Times New Roman"/>
          <w:kern w:val="0"/>
          <w:sz w:val="24"/>
          <w:szCs w:val="24"/>
          <w:lang w:eastAsia="pt-PT"/>
          <w14:ligatures w14:val="none"/>
        </w:rPr>
        <w:t>damage</w:t>
      </w:r>
      <w:proofErr w:type="spellEnd"/>
      <w:r w:rsidRPr="006C4AC3">
        <w:rPr>
          <w:rFonts w:eastAsia="Times New Roman" w:cs="Times New Roman"/>
          <w:kern w:val="0"/>
          <w:sz w:val="24"/>
          <w:szCs w:val="24"/>
          <w:lang w:eastAsia="pt-PT"/>
          <w14:ligatures w14:val="none"/>
        </w:rPr>
        <w:t xml:space="preserve"> </w:t>
      </w:r>
      <w:proofErr w:type="spellStart"/>
      <w:r w:rsidRPr="006C4AC3">
        <w:rPr>
          <w:rFonts w:eastAsia="Times New Roman" w:cs="Times New Roman"/>
          <w:kern w:val="0"/>
          <w:sz w:val="24"/>
          <w:szCs w:val="24"/>
          <w:lang w:eastAsia="pt-PT"/>
          <w14:ligatures w14:val="none"/>
        </w:rPr>
        <w:t>cost</w:t>
      </w:r>
      <w:proofErr w:type="spellEnd"/>
      <w:r w:rsidRPr="006C4AC3">
        <w:rPr>
          <w:rFonts w:eastAsia="Times New Roman" w:cs="Times New Roman"/>
          <w:kern w:val="0"/>
          <w:sz w:val="24"/>
          <w:szCs w:val="24"/>
          <w:lang w:eastAsia="pt-PT"/>
          <w14:ligatures w14:val="none"/>
        </w:rPr>
        <w:t>”;</w:t>
      </w:r>
    </w:p>
    <w:p w14:paraId="1797AD18" w14:textId="77777777" w:rsidR="006C4AC3" w:rsidRPr="006C4AC3" w:rsidRDefault="006C4AC3" w:rsidP="006C4AC3">
      <w:pPr>
        <w:numPr>
          <w:ilvl w:val="0"/>
          <w:numId w:val="8"/>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diferencia custos técnicos de impactos sociais;</w:t>
      </w:r>
    </w:p>
    <w:p w14:paraId="30D82785" w14:textId="77777777" w:rsidR="006C4AC3" w:rsidRPr="006C4AC3" w:rsidRDefault="006C4AC3" w:rsidP="006C4AC3">
      <w:pPr>
        <w:numPr>
          <w:ilvl w:val="0"/>
          <w:numId w:val="8"/>
        </w:numPr>
        <w:spacing w:before="100" w:beforeAutospacing="1" w:after="100" w:afterAutospacing="1"/>
        <w:rPr>
          <w:rFonts w:eastAsia="Times New Roman" w:cs="Times New Roman"/>
          <w:kern w:val="0"/>
          <w:sz w:val="24"/>
          <w:szCs w:val="24"/>
          <w:lang w:val="en-US" w:eastAsia="pt-PT"/>
          <w14:ligatures w14:val="none"/>
        </w:rPr>
      </w:pPr>
      <w:proofErr w:type="spellStart"/>
      <w:r w:rsidRPr="006C4AC3">
        <w:rPr>
          <w:rFonts w:eastAsia="Times New Roman" w:cs="Times New Roman"/>
          <w:kern w:val="0"/>
          <w:sz w:val="24"/>
          <w:szCs w:val="24"/>
          <w:lang w:val="en-US" w:eastAsia="pt-PT"/>
          <w14:ligatures w14:val="none"/>
        </w:rPr>
        <w:t>discute</w:t>
      </w:r>
      <w:proofErr w:type="spellEnd"/>
      <w:r w:rsidRPr="006C4AC3">
        <w:rPr>
          <w:rFonts w:eastAsia="Times New Roman" w:cs="Times New Roman"/>
          <w:kern w:val="0"/>
          <w:sz w:val="24"/>
          <w:szCs w:val="24"/>
          <w:lang w:val="en-US" w:eastAsia="pt-PT"/>
          <w14:ligatures w14:val="none"/>
        </w:rPr>
        <w:t xml:space="preserve"> </w:t>
      </w:r>
      <w:proofErr w:type="spellStart"/>
      <w:r w:rsidRPr="006C4AC3">
        <w:rPr>
          <w:rFonts w:eastAsia="Times New Roman" w:cs="Times New Roman"/>
          <w:kern w:val="0"/>
          <w:sz w:val="24"/>
          <w:szCs w:val="24"/>
          <w:lang w:val="en-US" w:eastAsia="pt-PT"/>
          <w14:ligatures w14:val="none"/>
        </w:rPr>
        <w:t>VoLL</w:t>
      </w:r>
      <w:proofErr w:type="spellEnd"/>
      <w:r w:rsidRPr="006C4AC3">
        <w:rPr>
          <w:rFonts w:eastAsia="Times New Roman" w:cs="Times New Roman"/>
          <w:kern w:val="0"/>
          <w:sz w:val="24"/>
          <w:szCs w:val="24"/>
          <w:lang w:val="en-US" w:eastAsia="pt-PT"/>
          <w14:ligatures w14:val="none"/>
        </w:rPr>
        <w:t>, GDP loss, willingness-to-pay, etc.</w:t>
      </w:r>
    </w:p>
    <w:p w14:paraId="6F70DCD3"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Ou seja:</w:t>
      </w:r>
      <w:r w:rsidRPr="006C4AC3">
        <w:rPr>
          <w:rFonts w:eastAsia="Times New Roman" w:cs="Times New Roman"/>
          <w:kern w:val="0"/>
          <w:sz w:val="24"/>
          <w:szCs w:val="24"/>
          <w:lang w:eastAsia="pt-PT"/>
          <w14:ligatures w14:val="none"/>
        </w:rPr>
        <w:br/>
        <w:t xml:space="preserve">Resiliência ≠ apenas métrica elétrica, é também </w:t>
      </w:r>
      <w:r w:rsidRPr="006C4AC3">
        <w:rPr>
          <w:rFonts w:eastAsia="Times New Roman" w:cs="Times New Roman"/>
          <w:b/>
          <w:bCs/>
          <w:kern w:val="0"/>
          <w:sz w:val="24"/>
          <w:szCs w:val="24"/>
          <w:lang w:eastAsia="pt-PT"/>
          <w14:ligatures w14:val="none"/>
        </w:rPr>
        <w:t>métrica socioeconômica</w:t>
      </w:r>
      <w:r w:rsidRPr="006C4AC3">
        <w:rPr>
          <w:rFonts w:eastAsia="Times New Roman" w:cs="Times New Roman"/>
          <w:kern w:val="0"/>
          <w:sz w:val="24"/>
          <w:szCs w:val="24"/>
          <w:lang w:eastAsia="pt-PT"/>
          <w14:ligatures w14:val="none"/>
        </w:rPr>
        <w:t xml:space="preserve">. </w:t>
      </w:r>
    </w:p>
    <w:p w14:paraId="57D47DBE" w14:textId="77777777" w:rsidR="006C4AC3" w:rsidRPr="006C4AC3" w:rsidRDefault="006C4AC3" w:rsidP="006C4AC3">
      <w:pPr>
        <w:spacing w:before="100" w:beforeAutospacing="1" w:after="100" w:afterAutospacing="1"/>
        <w:rPr>
          <w:rFonts w:eastAsia="Times New Roman" w:cs="Times New Roman"/>
          <w:kern w:val="0"/>
          <w:sz w:val="24"/>
          <w:szCs w:val="24"/>
          <w:lang w:val="en-US" w:eastAsia="pt-PT"/>
          <w14:ligatures w14:val="none"/>
        </w:rPr>
      </w:pPr>
      <w:r w:rsidRPr="006C4AC3">
        <w:rPr>
          <w:rFonts w:eastAsia="Times New Roman" w:cs="Times New Roman"/>
          <w:kern w:val="0"/>
          <w:sz w:val="24"/>
          <w:szCs w:val="24"/>
          <w:lang w:val="en-US" w:eastAsia="pt-PT"/>
          <w14:ligatures w14:val="none"/>
        </w:rPr>
        <w:t>2023 Methods for Analysis and Q…</w:t>
      </w:r>
    </w:p>
    <w:p w14:paraId="0DE8BBDE" w14:textId="77777777" w:rsidR="006C4AC3" w:rsidRPr="006C4AC3" w:rsidRDefault="006C4AC3" w:rsidP="006C4AC3">
      <w:pPr>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pict w14:anchorId="68DEED38">
          <v:rect id="_x0000_i1032" style="width:0;height:1.5pt" o:hralign="center" o:hrstd="t" o:hr="t" fillcolor="#a0a0a0" stroked="f"/>
        </w:pict>
      </w:r>
    </w:p>
    <w:p w14:paraId="347BDEF5"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2.7 Reconhecimento explícito da transmissão</w:t>
      </w:r>
    </w:p>
    <w:p w14:paraId="0F253666"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O artigo afirma que:</w:t>
      </w:r>
    </w:p>
    <w:p w14:paraId="21A48EEB" w14:textId="77777777" w:rsidR="006C4AC3" w:rsidRPr="006C4AC3" w:rsidRDefault="006C4AC3" w:rsidP="006C4AC3">
      <w:pPr>
        <w:numPr>
          <w:ilvl w:val="0"/>
          <w:numId w:val="9"/>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cascatas são mais severas em transmissão do que em distribuição;</w:t>
      </w:r>
    </w:p>
    <w:p w14:paraId="410B9920" w14:textId="77777777" w:rsidR="006C4AC3" w:rsidRPr="006C4AC3" w:rsidRDefault="006C4AC3" w:rsidP="006C4AC3">
      <w:pPr>
        <w:numPr>
          <w:ilvl w:val="0"/>
          <w:numId w:val="9"/>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dados do NERC TADS são fundamentais;</w:t>
      </w:r>
    </w:p>
    <w:p w14:paraId="74FE2C99" w14:textId="77777777" w:rsidR="006C4AC3" w:rsidRPr="006C4AC3" w:rsidRDefault="006C4AC3" w:rsidP="006C4AC3">
      <w:pPr>
        <w:numPr>
          <w:ilvl w:val="0"/>
          <w:numId w:val="9"/>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lastRenderedPageBreak/>
        <w:t xml:space="preserve">eventos climáticos extremos afetam diretamente linhas e subestações. </w:t>
      </w:r>
    </w:p>
    <w:p w14:paraId="5601F0D4" w14:textId="77777777" w:rsidR="006C4AC3" w:rsidRPr="006C4AC3" w:rsidRDefault="006C4AC3" w:rsidP="006C4AC3">
      <w:pPr>
        <w:spacing w:before="100" w:beforeAutospacing="1" w:after="100" w:afterAutospacing="1"/>
        <w:ind w:left="720"/>
        <w:rPr>
          <w:rFonts w:eastAsia="Times New Roman" w:cs="Times New Roman"/>
          <w:kern w:val="0"/>
          <w:sz w:val="24"/>
          <w:szCs w:val="24"/>
          <w:lang w:val="en-US" w:eastAsia="pt-PT"/>
          <w14:ligatures w14:val="none"/>
        </w:rPr>
      </w:pPr>
      <w:r w:rsidRPr="006C4AC3">
        <w:rPr>
          <w:rFonts w:eastAsia="Times New Roman" w:cs="Times New Roman"/>
          <w:kern w:val="0"/>
          <w:sz w:val="24"/>
          <w:szCs w:val="24"/>
          <w:lang w:val="en-US" w:eastAsia="pt-PT"/>
          <w14:ligatures w14:val="none"/>
        </w:rPr>
        <w:t>2023 Methods for Analysis and Q…</w:t>
      </w:r>
    </w:p>
    <w:p w14:paraId="2380C99D" w14:textId="77777777" w:rsidR="006C4AC3" w:rsidRPr="006C4AC3" w:rsidRDefault="006C4AC3" w:rsidP="006C4AC3">
      <w:pPr>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pict w14:anchorId="4B3F7F6B">
          <v:rect id="_x0000_i1033" style="width:0;height:1.5pt" o:hralign="center" o:hrstd="t" o:hr="t" fillcolor="#a0a0a0" stroked="f"/>
        </w:pict>
      </w:r>
    </w:p>
    <w:p w14:paraId="1EC34249" w14:textId="77777777" w:rsidR="006C4AC3" w:rsidRPr="006C4AC3" w:rsidRDefault="006C4AC3" w:rsidP="006C4AC3">
      <w:pPr>
        <w:numPr>
          <w:ilvl w:val="0"/>
          <w:numId w:val="10"/>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Limitações para a sua tese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67"/>
        <w:gridCol w:w="1942"/>
      </w:tblGrid>
      <w:tr w:rsidR="006C4AC3" w:rsidRPr="006C4AC3" w14:paraId="709C68A9" w14:textId="77777777">
        <w:trPr>
          <w:tblHeader/>
          <w:tblCellSpacing w:w="15" w:type="dxa"/>
        </w:trPr>
        <w:tc>
          <w:tcPr>
            <w:tcW w:w="0" w:type="auto"/>
            <w:vAlign w:val="center"/>
            <w:hideMark/>
          </w:tcPr>
          <w:p w14:paraId="43D2B17A" w14:textId="77777777" w:rsidR="006C4AC3" w:rsidRPr="006C4AC3" w:rsidRDefault="006C4AC3" w:rsidP="006C4AC3">
            <w:pPr>
              <w:jc w:val="center"/>
              <w:rPr>
                <w:rFonts w:eastAsia="Times New Roman" w:cs="Times New Roman"/>
                <w:b/>
                <w:bCs/>
                <w:kern w:val="0"/>
                <w:sz w:val="24"/>
                <w:szCs w:val="24"/>
                <w:lang w:eastAsia="pt-PT"/>
                <w14:ligatures w14:val="none"/>
              </w:rPr>
            </w:pPr>
            <w:r w:rsidRPr="006C4AC3">
              <w:rPr>
                <w:rFonts w:eastAsia="Times New Roman" w:cs="Times New Roman"/>
                <w:b/>
                <w:bCs/>
                <w:kern w:val="0"/>
                <w:sz w:val="24"/>
                <w:szCs w:val="24"/>
                <w:lang w:eastAsia="pt-PT"/>
                <w14:ligatures w14:val="none"/>
              </w:rPr>
              <w:t>Elemento da sua tese</w:t>
            </w:r>
          </w:p>
        </w:tc>
        <w:tc>
          <w:tcPr>
            <w:tcW w:w="0" w:type="auto"/>
            <w:vAlign w:val="center"/>
            <w:hideMark/>
          </w:tcPr>
          <w:p w14:paraId="04EF6FB0" w14:textId="77777777" w:rsidR="006C4AC3" w:rsidRPr="006C4AC3" w:rsidRDefault="006C4AC3" w:rsidP="006C4AC3">
            <w:pPr>
              <w:jc w:val="center"/>
              <w:rPr>
                <w:rFonts w:eastAsia="Times New Roman" w:cs="Times New Roman"/>
                <w:b/>
                <w:bCs/>
                <w:kern w:val="0"/>
                <w:sz w:val="24"/>
                <w:szCs w:val="24"/>
                <w:lang w:eastAsia="pt-PT"/>
                <w14:ligatures w14:val="none"/>
              </w:rPr>
            </w:pPr>
            <w:r w:rsidRPr="006C4AC3">
              <w:rPr>
                <w:rFonts w:eastAsia="Times New Roman" w:cs="Times New Roman"/>
                <w:b/>
                <w:bCs/>
                <w:kern w:val="0"/>
                <w:sz w:val="24"/>
                <w:szCs w:val="24"/>
                <w:lang w:eastAsia="pt-PT"/>
                <w14:ligatures w14:val="none"/>
              </w:rPr>
              <w:t>Situação no artigo</w:t>
            </w:r>
          </w:p>
        </w:tc>
      </w:tr>
      <w:tr w:rsidR="006C4AC3" w:rsidRPr="006C4AC3" w14:paraId="7D8D71C0" w14:textId="77777777">
        <w:trPr>
          <w:tblCellSpacing w:w="15" w:type="dxa"/>
        </w:trPr>
        <w:tc>
          <w:tcPr>
            <w:tcW w:w="0" w:type="auto"/>
            <w:vAlign w:val="center"/>
            <w:hideMark/>
          </w:tcPr>
          <w:p w14:paraId="3B67FE4D" w14:textId="77777777" w:rsidR="006C4AC3" w:rsidRPr="006C4AC3" w:rsidRDefault="006C4AC3" w:rsidP="006C4AC3">
            <w:pPr>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Modelos mecânicos de torres</w:t>
            </w:r>
          </w:p>
        </w:tc>
        <w:tc>
          <w:tcPr>
            <w:tcW w:w="0" w:type="auto"/>
            <w:vAlign w:val="center"/>
            <w:hideMark/>
          </w:tcPr>
          <w:p w14:paraId="1F93A0D3" w14:textId="77777777" w:rsidR="006C4AC3" w:rsidRPr="006C4AC3" w:rsidRDefault="006C4AC3" w:rsidP="006C4AC3">
            <w:pPr>
              <w:rPr>
                <w:rFonts w:eastAsia="Times New Roman" w:cs="Times New Roman"/>
                <w:kern w:val="0"/>
                <w:sz w:val="24"/>
                <w:szCs w:val="24"/>
                <w:lang w:eastAsia="pt-PT"/>
                <w14:ligatures w14:val="none"/>
              </w:rPr>
            </w:pPr>
            <w:r w:rsidRPr="006C4AC3">
              <w:rPr>
                <w:rFonts w:ascii="Segoe UI Emoji" w:eastAsia="Times New Roman" w:hAnsi="Segoe UI Emoji" w:cs="Segoe UI Emoji"/>
                <w:kern w:val="0"/>
                <w:sz w:val="24"/>
                <w:szCs w:val="24"/>
                <w:lang w:eastAsia="pt-PT"/>
                <w14:ligatures w14:val="none"/>
              </w:rPr>
              <w:t>❌</w:t>
            </w:r>
            <w:r w:rsidRPr="006C4AC3">
              <w:rPr>
                <w:rFonts w:eastAsia="Times New Roman" w:cs="Times New Roman"/>
                <w:kern w:val="0"/>
                <w:sz w:val="24"/>
                <w:szCs w:val="24"/>
                <w:lang w:eastAsia="pt-PT"/>
                <w14:ligatures w14:val="none"/>
              </w:rPr>
              <w:t xml:space="preserve"> Não</w:t>
            </w:r>
          </w:p>
        </w:tc>
      </w:tr>
      <w:tr w:rsidR="006C4AC3" w:rsidRPr="006C4AC3" w14:paraId="57D28D1A" w14:textId="77777777">
        <w:trPr>
          <w:tblCellSpacing w:w="15" w:type="dxa"/>
        </w:trPr>
        <w:tc>
          <w:tcPr>
            <w:tcW w:w="0" w:type="auto"/>
            <w:vAlign w:val="center"/>
            <w:hideMark/>
          </w:tcPr>
          <w:p w14:paraId="3651CE4F" w14:textId="77777777" w:rsidR="006C4AC3" w:rsidRPr="006C4AC3" w:rsidRDefault="006C4AC3" w:rsidP="006C4AC3">
            <w:pPr>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Equações estruturais de falha</w:t>
            </w:r>
          </w:p>
        </w:tc>
        <w:tc>
          <w:tcPr>
            <w:tcW w:w="0" w:type="auto"/>
            <w:vAlign w:val="center"/>
            <w:hideMark/>
          </w:tcPr>
          <w:p w14:paraId="7B647467" w14:textId="77777777" w:rsidR="006C4AC3" w:rsidRPr="006C4AC3" w:rsidRDefault="006C4AC3" w:rsidP="006C4AC3">
            <w:pPr>
              <w:rPr>
                <w:rFonts w:eastAsia="Times New Roman" w:cs="Times New Roman"/>
                <w:kern w:val="0"/>
                <w:sz w:val="24"/>
                <w:szCs w:val="24"/>
                <w:lang w:eastAsia="pt-PT"/>
                <w14:ligatures w14:val="none"/>
              </w:rPr>
            </w:pPr>
            <w:r w:rsidRPr="006C4AC3">
              <w:rPr>
                <w:rFonts w:ascii="Segoe UI Emoji" w:eastAsia="Times New Roman" w:hAnsi="Segoe UI Emoji" w:cs="Segoe UI Emoji"/>
                <w:kern w:val="0"/>
                <w:sz w:val="24"/>
                <w:szCs w:val="24"/>
                <w:lang w:eastAsia="pt-PT"/>
                <w14:ligatures w14:val="none"/>
              </w:rPr>
              <w:t>❌</w:t>
            </w:r>
            <w:r w:rsidRPr="006C4AC3">
              <w:rPr>
                <w:rFonts w:eastAsia="Times New Roman" w:cs="Times New Roman"/>
                <w:kern w:val="0"/>
                <w:sz w:val="24"/>
                <w:szCs w:val="24"/>
                <w:lang w:eastAsia="pt-PT"/>
                <w14:ligatures w14:val="none"/>
              </w:rPr>
              <w:t xml:space="preserve"> Não</w:t>
            </w:r>
          </w:p>
        </w:tc>
      </w:tr>
      <w:tr w:rsidR="006C4AC3" w:rsidRPr="006C4AC3" w14:paraId="11BC1411" w14:textId="77777777">
        <w:trPr>
          <w:tblCellSpacing w:w="15" w:type="dxa"/>
        </w:trPr>
        <w:tc>
          <w:tcPr>
            <w:tcW w:w="0" w:type="auto"/>
            <w:vAlign w:val="center"/>
            <w:hideMark/>
          </w:tcPr>
          <w:p w14:paraId="437BF7AF" w14:textId="77777777" w:rsidR="006C4AC3" w:rsidRPr="006C4AC3" w:rsidRDefault="006C4AC3" w:rsidP="006C4AC3">
            <w:pPr>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Curvas físicas derivadas por engenharia estrutural</w:t>
            </w:r>
          </w:p>
        </w:tc>
        <w:tc>
          <w:tcPr>
            <w:tcW w:w="0" w:type="auto"/>
            <w:vAlign w:val="center"/>
            <w:hideMark/>
          </w:tcPr>
          <w:p w14:paraId="05D9DB3B" w14:textId="77777777" w:rsidR="006C4AC3" w:rsidRPr="006C4AC3" w:rsidRDefault="006C4AC3" w:rsidP="006C4AC3">
            <w:pPr>
              <w:rPr>
                <w:rFonts w:eastAsia="Times New Roman" w:cs="Times New Roman"/>
                <w:kern w:val="0"/>
                <w:sz w:val="24"/>
                <w:szCs w:val="24"/>
                <w:lang w:eastAsia="pt-PT"/>
                <w14:ligatures w14:val="none"/>
              </w:rPr>
            </w:pPr>
            <w:r w:rsidRPr="006C4AC3">
              <w:rPr>
                <w:rFonts w:ascii="Segoe UI Emoji" w:eastAsia="Times New Roman" w:hAnsi="Segoe UI Emoji" w:cs="Segoe UI Emoji"/>
                <w:kern w:val="0"/>
                <w:sz w:val="24"/>
                <w:szCs w:val="24"/>
                <w:lang w:eastAsia="pt-PT"/>
                <w14:ligatures w14:val="none"/>
              </w:rPr>
              <w:t>❌</w:t>
            </w:r>
            <w:r w:rsidRPr="006C4AC3">
              <w:rPr>
                <w:rFonts w:eastAsia="Times New Roman" w:cs="Times New Roman"/>
                <w:kern w:val="0"/>
                <w:sz w:val="24"/>
                <w:szCs w:val="24"/>
                <w:lang w:eastAsia="pt-PT"/>
                <w14:ligatures w14:val="none"/>
              </w:rPr>
              <w:t xml:space="preserve"> Não</w:t>
            </w:r>
          </w:p>
        </w:tc>
      </w:tr>
      <w:tr w:rsidR="006C4AC3" w:rsidRPr="006C4AC3" w14:paraId="68E25568" w14:textId="77777777">
        <w:trPr>
          <w:tblCellSpacing w:w="15" w:type="dxa"/>
        </w:trPr>
        <w:tc>
          <w:tcPr>
            <w:tcW w:w="0" w:type="auto"/>
            <w:vAlign w:val="center"/>
            <w:hideMark/>
          </w:tcPr>
          <w:p w14:paraId="775A9B67" w14:textId="77777777" w:rsidR="006C4AC3" w:rsidRPr="006C4AC3" w:rsidRDefault="006C4AC3" w:rsidP="006C4AC3">
            <w:pPr>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Modelo próprio de índice de LT</w:t>
            </w:r>
          </w:p>
        </w:tc>
        <w:tc>
          <w:tcPr>
            <w:tcW w:w="0" w:type="auto"/>
            <w:vAlign w:val="center"/>
            <w:hideMark/>
          </w:tcPr>
          <w:p w14:paraId="6A08A657" w14:textId="77777777" w:rsidR="006C4AC3" w:rsidRPr="006C4AC3" w:rsidRDefault="006C4AC3" w:rsidP="006C4AC3">
            <w:pPr>
              <w:rPr>
                <w:rFonts w:eastAsia="Times New Roman" w:cs="Times New Roman"/>
                <w:kern w:val="0"/>
                <w:sz w:val="24"/>
                <w:szCs w:val="24"/>
                <w:lang w:eastAsia="pt-PT"/>
                <w14:ligatures w14:val="none"/>
              </w:rPr>
            </w:pPr>
            <w:r w:rsidRPr="006C4AC3">
              <w:rPr>
                <w:rFonts w:ascii="Segoe UI Emoji" w:eastAsia="Times New Roman" w:hAnsi="Segoe UI Emoji" w:cs="Segoe UI Emoji"/>
                <w:kern w:val="0"/>
                <w:sz w:val="24"/>
                <w:szCs w:val="24"/>
                <w:lang w:eastAsia="pt-PT"/>
                <w14:ligatures w14:val="none"/>
              </w:rPr>
              <w:t>❌</w:t>
            </w:r>
            <w:r w:rsidRPr="006C4AC3">
              <w:rPr>
                <w:rFonts w:eastAsia="Times New Roman" w:cs="Times New Roman"/>
                <w:kern w:val="0"/>
                <w:sz w:val="24"/>
                <w:szCs w:val="24"/>
                <w:lang w:eastAsia="pt-PT"/>
                <w14:ligatures w14:val="none"/>
              </w:rPr>
              <w:t xml:space="preserve"> Não</w:t>
            </w:r>
          </w:p>
        </w:tc>
      </w:tr>
      <w:tr w:rsidR="006C4AC3" w:rsidRPr="006C4AC3" w14:paraId="6145A427" w14:textId="77777777">
        <w:trPr>
          <w:tblCellSpacing w:w="15" w:type="dxa"/>
        </w:trPr>
        <w:tc>
          <w:tcPr>
            <w:tcW w:w="0" w:type="auto"/>
            <w:vAlign w:val="center"/>
            <w:hideMark/>
          </w:tcPr>
          <w:p w14:paraId="4DF37602" w14:textId="77777777" w:rsidR="006C4AC3" w:rsidRPr="006C4AC3" w:rsidRDefault="006C4AC3" w:rsidP="006C4AC3">
            <w:pPr>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Estrutura conceitual da resiliência</w:t>
            </w:r>
          </w:p>
        </w:tc>
        <w:tc>
          <w:tcPr>
            <w:tcW w:w="0" w:type="auto"/>
            <w:vAlign w:val="center"/>
            <w:hideMark/>
          </w:tcPr>
          <w:p w14:paraId="100314E7" w14:textId="77777777" w:rsidR="006C4AC3" w:rsidRPr="006C4AC3" w:rsidRDefault="006C4AC3" w:rsidP="006C4AC3">
            <w:pPr>
              <w:rPr>
                <w:rFonts w:eastAsia="Times New Roman" w:cs="Times New Roman"/>
                <w:kern w:val="0"/>
                <w:sz w:val="24"/>
                <w:szCs w:val="24"/>
                <w:lang w:eastAsia="pt-PT"/>
                <w14:ligatures w14:val="none"/>
              </w:rPr>
            </w:pPr>
            <w:r w:rsidRPr="006C4AC3">
              <w:rPr>
                <w:rFonts w:ascii="Segoe UI Emoji" w:eastAsia="Times New Roman" w:hAnsi="Segoe UI Emoji" w:cs="Segoe UI Emoji"/>
                <w:kern w:val="0"/>
                <w:sz w:val="24"/>
                <w:szCs w:val="24"/>
                <w:lang w:eastAsia="pt-PT"/>
                <w14:ligatures w14:val="none"/>
              </w:rPr>
              <w:t>✅</w:t>
            </w:r>
            <w:r w:rsidRPr="006C4AC3">
              <w:rPr>
                <w:rFonts w:eastAsia="Times New Roman" w:cs="Times New Roman"/>
                <w:kern w:val="0"/>
                <w:sz w:val="24"/>
                <w:szCs w:val="24"/>
                <w:lang w:eastAsia="pt-PT"/>
                <w14:ligatures w14:val="none"/>
              </w:rPr>
              <w:t xml:space="preserve"> Central</w:t>
            </w:r>
          </w:p>
        </w:tc>
      </w:tr>
      <w:tr w:rsidR="006C4AC3" w:rsidRPr="006C4AC3" w14:paraId="0138C686" w14:textId="77777777">
        <w:trPr>
          <w:tblCellSpacing w:w="15" w:type="dxa"/>
        </w:trPr>
        <w:tc>
          <w:tcPr>
            <w:tcW w:w="0" w:type="auto"/>
            <w:vAlign w:val="center"/>
            <w:hideMark/>
          </w:tcPr>
          <w:p w14:paraId="47B75BE3" w14:textId="77777777" w:rsidR="006C4AC3" w:rsidRPr="006C4AC3" w:rsidRDefault="006C4AC3" w:rsidP="006C4AC3">
            <w:pPr>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Base normativa e científica</w:t>
            </w:r>
          </w:p>
        </w:tc>
        <w:tc>
          <w:tcPr>
            <w:tcW w:w="0" w:type="auto"/>
            <w:vAlign w:val="center"/>
            <w:hideMark/>
          </w:tcPr>
          <w:p w14:paraId="604CE6A2" w14:textId="77777777" w:rsidR="006C4AC3" w:rsidRPr="006C4AC3" w:rsidRDefault="006C4AC3" w:rsidP="006C4AC3">
            <w:pPr>
              <w:rPr>
                <w:rFonts w:eastAsia="Times New Roman" w:cs="Times New Roman"/>
                <w:kern w:val="0"/>
                <w:sz w:val="24"/>
                <w:szCs w:val="24"/>
                <w:lang w:eastAsia="pt-PT"/>
                <w14:ligatures w14:val="none"/>
              </w:rPr>
            </w:pPr>
            <w:r w:rsidRPr="006C4AC3">
              <w:rPr>
                <w:rFonts w:ascii="Segoe UI Emoji" w:eastAsia="Times New Roman" w:hAnsi="Segoe UI Emoji" w:cs="Segoe UI Emoji"/>
                <w:kern w:val="0"/>
                <w:sz w:val="24"/>
                <w:szCs w:val="24"/>
                <w:lang w:eastAsia="pt-PT"/>
                <w14:ligatures w14:val="none"/>
              </w:rPr>
              <w:t>✅</w:t>
            </w:r>
            <w:r w:rsidRPr="006C4AC3">
              <w:rPr>
                <w:rFonts w:eastAsia="Times New Roman" w:cs="Times New Roman"/>
                <w:kern w:val="0"/>
                <w:sz w:val="24"/>
                <w:szCs w:val="24"/>
                <w:lang w:eastAsia="pt-PT"/>
                <w14:ligatures w14:val="none"/>
              </w:rPr>
              <w:t xml:space="preserve"> Absoluta</w:t>
            </w:r>
          </w:p>
        </w:tc>
      </w:tr>
    </w:tbl>
    <w:p w14:paraId="7A24A4D8"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 xml:space="preserve">Ele não é físico-estrutural, é </w:t>
      </w:r>
      <w:r w:rsidRPr="006C4AC3">
        <w:rPr>
          <w:rFonts w:eastAsia="Times New Roman" w:cs="Times New Roman"/>
          <w:b/>
          <w:bCs/>
          <w:kern w:val="0"/>
          <w:sz w:val="24"/>
          <w:szCs w:val="24"/>
          <w:lang w:eastAsia="pt-PT"/>
          <w14:ligatures w14:val="none"/>
        </w:rPr>
        <w:t>fundacional</w:t>
      </w:r>
      <w:r w:rsidRPr="006C4AC3">
        <w:rPr>
          <w:rFonts w:eastAsia="Times New Roman" w:cs="Times New Roman"/>
          <w:kern w:val="0"/>
          <w:sz w:val="24"/>
          <w:szCs w:val="24"/>
          <w:lang w:eastAsia="pt-PT"/>
          <w14:ligatures w14:val="none"/>
        </w:rPr>
        <w:t>.</w:t>
      </w:r>
    </w:p>
    <w:p w14:paraId="6AD4EC14" w14:textId="77777777" w:rsidR="006C4AC3" w:rsidRPr="006C4AC3" w:rsidRDefault="006C4AC3" w:rsidP="006C4AC3">
      <w:pPr>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pict w14:anchorId="5E08124C">
          <v:rect id="_x0000_i1034" style="width:0;height:1.5pt" o:hralign="center" o:hrstd="t" o:hr="t" fillcolor="#a0a0a0" stroked="f"/>
        </w:pict>
      </w:r>
    </w:p>
    <w:p w14:paraId="05719928" w14:textId="77777777" w:rsidR="006C4AC3" w:rsidRPr="006C4AC3" w:rsidRDefault="006C4AC3" w:rsidP="006C4AC3">
      <w:pPr>
        <w:numPr>
          <w:ilvl w:val="0"/>
          <w:numId w:val="11"/>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Aderência ao tema da sua tese</w:t>
      </w:r>
    </w:p>
    <w:p w14:paraId="720D3792"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 xml:space="preserve">Tema: </w:t>
      </w:r>
      <w:r w:rsidRPr="006C4AC3">
        <w:rPr>
          <w:rFonts w:eastAsia="Times New Roman" w:cs="Times New Roman"/>
          <w:i/>
          <w:iCs/>
          <w:kern w:val="0"/>
          <w:sz w:val="24"/>
          <w:szCs w:val="24"/>
          <w:lang w:eastAsia="pt-PT"/>
          <w14:ligatures w14:val="none"/>
        </w:rPr>
        <w:t>Resiliência das Linhas de Transmissão frente a eventos climáticos extremos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6"/>
        <w:gridCol w:w="1505"/>
      </w:tblGrid>
      <w:tr w:rsidR="006C4AC3" w:rsidRPr="006C4AC3" w14:paraId="6726A4DE" w14:textId="77777777">
        <w:trPr>
          <w:tblHeader/>
          <w:tblCellSpacing w:w="15" w:type="dxa"/>
        </w:trPr>
        <w:tc>
          <w:tcPr>
            <w:tcW w:w="0" w:type="auto"/>
            <w:vAlign w:val="center"/>
            <w:hideMark/>
          </w:tcPr>
          <w:p w14:paraId="0019C40B" w14:textId="77777777" w:rsidR="006C4AC3" w:rsidRPr="006C4AC3" w:rsidRDefault="006C4AC3" w:rsidP="006C4AC3">
            <w:pPr>
              <w:jc w:val="center"/>
              <w:rPr>
                <w:rFonts w:eastAsia="Times New Roman" w:cs="Times New Roman"/>
                <w:b/>
                <w:bCs/>
                <w:kern w:val="0"/>
                <w:sz w:val="24"/>
                <w:szCs w:val="24"/>
                <w:lang w:eastAsia="pt-PT"/>
                <w14:ligatures w14:val="none"/>
              </w:rPr>
            </w:pPr>
            <w:r w:rsidRPr="006C4AC3">
              <w:rPr>
                <w:rFonts w:eastAsia="Times New Roman" w:cs="Times New Roman"/>
                <w:b/>
                <w:bCs/>
                <w:kern w:val="0"/>
                <w:sz w:val="24"/>
                <w:szCs w:val="24"/>
                <w:lang w:eastAsia="pt-PT"/>
                <w14:ligatures w14:val="none"/>
              </w:rPr>
              <w:t>Critério</w:t>
            </w:r>
          </w:p>
        </w:tc>
        <w:tc>
          <w:tcPr>
            <w:tcW w:w="0" w:type="auto"/>
            <w:vAlign w:val="center"/>
            <w:hideMark/>
          </w:tcPr>
          <w:p w14:paraId="778291F7" w14:textId="77777777" w:rsidR="006C4AC3" w:rsidRPr="006C4AC3" w:rsidRDefault="006C4AC3" w:rsidP="006C4AC3">
            <w:pPr>
              <w:jc w:val="center"/>
              <w:rPr>
                <w:rFonts w:eastAsia="Times New Roman" w:cs="Times New Roman"/>
                <w:b/>
                <w:bCs/>
                <w:kern w:val="0"/>
                <w:sz w:val="24"/>
                <w:szCs w:val="24"/>
                <w:lang w:eastAsia="pt-PT"/>
                <w14:ligatures w14:val="none"/>
              </w:rPr>
            </w:pPr>
            <w:r w:rsidRPr="006C4AC3">
              <w:rPr>
                <w:rFonts w:eastAsia="Times New Roman" w:cs="Times New Roman"/>
                <w:b/>
                <w:bCs/>
                <w:kern w:val="0"/>
                <w:sz w:val="24"/>
                <w:szCs w:val="24"/>
                <w:lang w:eastAsia="pt-PT"/>
                <w14:ligatures w14:val="none"/>
              </w:rPr>
              <w:t>Avaliação</w:t>
            </w:r>
          </w:p>
        </w:tc>
      </w:tr>
      <w:tr w:rsidR="006C4AC3" w:rsidRPr="006C4AC3" w14:paraId="4CC41381" w14:textId="77777777">
        <w:trPr>
          <w:tblCellSpacing w:w="15" w:type="dxa"/>
        </w:trPr>
        <w:tc>
          <w:tcPr>
            <w:tcW w:w="0" w:type="auto"/>
            <w:vAlign w:val="center"/>
            <w:hideMark/>
          </w:tcPr>
          <w:p w14:paraId="508FD51B" w14:textId="77777777" w:rsidR="006C4AC3" w:rsidRPr="006C4AC3" w:rsidRDefault="006C4AC3" w:rsidP="006C4AC3">
            <w:pPr>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Definição formal de resiliência</w:t>
            </w:r>
          </w:p>
        </w:tc>
        <w:tc>
          <w:tcPr>
            <w:tcW w:w="0" w:type="auto"/>
            <w:vAlign w:val="center"/>
            <w:hideMark/>
          </w:tcPr>
          <w:p w14:paraId="38EF3B56" w14:textId="77777777" w:rsidR="006C4AC3" w:rsidRPr="006C4AC3" w:rsidRDefault="006C4AC3" w:rsidP="006C4AC3">
            <w:pPr>
              <w:rPr>
                <w:rFonts w:eastAsia="Times New Roman" w:cs="Times New Roman"/>
                <w:kern w:val="0"/>
                <w:sz w:val="24"/>
                <w:szCs w:val="24"/>
                <w:lang w:eastAsia="pt-PT"/>
                <w14:ligatures w14:val="none"/>
              </w:rPr>
            </w:pPr>
            <w:r w:rsidRPr="006C4AC3">
              <w:rPr>
                <w:rFonts w:ascii="Segoe UI Emoji" w:eastAsia="Times New Roman" w:hAnsi="Segoe UI Emoji" w:cs="Segoe UI Emoji"/>
                <w:kern w:val="0"/>
                <w:sz w:val="24"/>
                <w:szCs w:val="24"/>
                <w:lang w:eastAsia="pt-PT"/>
                <w14:ligatures w14:val="none"/>
              </w:rPr>
              <w:t>✅</w:t>
            </w:r>
          </w:p>
        </w:tc>
      </w:tr>
      <w:tr w:rsidR="006C4AC3" w:rsidRPr="006C4AC3" w14:paraId="2FFABD81" w14:textId="77777777">
        <w:trPr>
          <w:tblCellSpacing w:w="15" w:type="dxa"/>
        </w:trPr>
        <w:tc>
          <w:tcPr>
            <w:tcW w:w="0" w:type="auto"/>
            <w:vAlign w:val="center"/>
            <w:hideMark/>
          </w:tcPr>
          <w:p w14:paraId="192D1DB9" w14:textId="77777777" w:rsidR="006C4AC3" w:rsidRPr="006C4AC3" w:rsidRDefault="006C4AC3" w:rsidP="006C4AC3">
            <w:pPr>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Separação confiabilidade × resiliência</w:t>
            </w:r>
          </w:p>
        </w:tc>
        <w:tc>
          <w:tcPr>
            <w:tcW w:w="0" w:type="auto"/>
            <w:vAlign w:val="center"/>
            <w:hideMark/>
          </w:tcPr>
          <w:p w14:paraId="72D9FE39" w14:textId="77777777" w:rsidR="006C4AC3" w:rsidRPr="006C4AC3" w:rsidRDefault="006C4AC3" w:rsidP="006C4AC3">
            <w:pPr>
              <w:rPr>
                <w:rFonts w:eastAsia="Times New Roman" w:cs="Times New Roman"/>
                <w:kern w:val="0"/>
                <w:sz w:val="24"/>
                <w:szCs w:val="24"/>
                <w:lang w:eastAsia="pt-PT"/>
                <w14:ligatures w14:val="none"/>
              </w:rPr>
            </w:pPr>
            <w:r w:rsidRPr="006C4AC3">
              <w:rPr>
                <w:rFonts w:ascii="Segoe UI Emoji" w:eastAsia="Times New Roman" w:hAnsi="Segoe UI Emoji" w:cs="Segoe UI Emoji"/>
                <w:kern w:val="0"/>
                <w:sz w:val="24"/>
                <w:szCs w:val="24"/>
                <w:lang w:eastAsia="pt-PT"/>
                <w14:ligatures w14:val="none"/>
              </w:rPr>
              <w:t>✅</w:t>
            </w:r>
          </w:p>
        </w:tc>
      </w:tr>
      <w:tr w:rsidR="006C4AC3" w:rsidRPr="006C4AC3" w14:paraId="7F1F33A2" w14:textId="77777777">
        <w:trPr>
          <w:tblCellSpacing w:w="15" w:type="dxa"/>
        </w:trPr>
        <w:tc>
          <w:tcPr>
            <w:tcW w:w="0" w:type="auto"/>
            <w:vAlign w:val="center"/>
            <w:hideMark/>
          </w:tcPr>
          <w:p w14:paraId="4144CDD0" w14:textId="77777777" w:rsidR="006C4AC3" w:rsidRPr="006C4AC3" w:rsidRDefault="006C4AC3" w:rsidP="006C4AC3">
            <w:pPr>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Base para curvas de resiliência</w:t>
            </w:r>
          </w:p>
        </w:tc>
        <w:tc>
          <w:tcPr>
            <w:tcW w:w="0" w:type="auto"/>
            <w:vAlign w:val="center"/>
            <w:hideMark/>
          </w:tcPr>
          <w:p w14:paraId="07987723" w14:textId="77777777" w:rsidR="006C4AC3" w:rsidRPr="006C4AC3" w:rsidRDefault="006C4AC3" w:rsidP="006C4AC3">
            <w:pPr>
              <w:rPr>
                <w:rFonts w:eastAsia="Times New Roman" w:cs="Times New Roman"/>
                <w:kern w:val="0"/>
                <w:sz w:val="24"/>
                <w:szCs w:val="24"/>
                <w:lang w:eastAsia="pt-PT"/>
                <w14:ligatures w14:val="none"/>
              </w:rPr>
            </w:pPr>
            <w:r w:rsidRPr="006C4AC3">
              <w:rPr>
                <w:rFonts w:ascii="Segoe UI Emoji" w:eastAsia="Times New Roman" w:hAnsi="Segoe UI Emoji" w:cs="Segoe UI Emoji"/>
                <w:kern w:val="0"/>
                <w:sz w:val="24"/>
                <w:szCs w:val="24"/>
                <w:lang w:eastAsia="pt-PT"/>
                <w14:ligatures w14:val="none"/>
              </w:rPr>
              <w:t>✅</w:t>
            </w:r>
          </w:p>
        </w:tc>
      </w:tr>
      <w:tr w:rsidR="006C4AC3" w:rsidRPr="006C4AC3" w14:paraId="541D5712" w14:textId="77777777">
        <w:trPr>
          <w:tblCellSpacing w:w="15" w:type="dxa"/>
        </w:trPr>
        <w:tc>
          <w:tcPr>
            <w:tcW w:w="0" w:type="auto"/>
            <w:vAlign w:val="center"/>
            <w:hideMark/>
          </w:tcPr>
          <w:p w14:paraId="6B0CB759" w14:textId="77777777" w:rsidR="006C4AC3" w:rsidRPr="006C4AC3" w:rsidRDefault="006C4AC3" w:rsidP="006C4AC3">
            <w:pPr>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Uso de fragilidade física</w:t>
            </w:r>
          </w:p>
        </w:tc>
        <w:tc>
          <w:tcPr>
            <w:tcW w:w="0" w:type="auto"/>
            <w:vAlign w:val="center"/>
            <w:hideMark/>
          </w:tcPr>
          <w:p w14:paraId="61E2C7F1" w14:textId="77777777" w:rsidR="006C4AC3" w:rsidRPr="006C4AC3" w:rsidRDefault="006C4AC3" w:rsidP="006C4AC3">
            <w:pPr>
              <w:rPr>
                <w:rFonts w:eastAsia="Times New Roman" w:cs="Times New Roman"/>
                <w:kern w:val="0"/>
                <w:sz w:val="24"/>
                <w:szCs w:val="24"/>
                <w:lang w:eastAsia="pt-PT"/>
                <w14:ligatures w14:val="none"/>
              </w:rPr>
            </w:pPr>
            <w:r w:rsidRPr="006C4AC3">
              <w:rPr>
                <w:rFonts w:ascii="Segoe UI Emoji" w:eastAsia="Times New Roman" w:hAnsi="Segoe UI Emoji" w:cs="Segoe UI Emoji"/>
                <w:kern w:val="0"/>
                <w:sz w:val="24"/>
                <w:szCs w:val="24"/>
                <w:lang w:eastAsia="pt-PT"/>
                <w14:ligatures w14:val="none"/>
              </w:rPr>
              <w:t>✅</w:t>
            </w:r>
            <w:r w:rsidRPr="006C4AC3">
              <w:rPr>
                <w:rFonts w:eastAsia="Times New Roman" w:cs="Times New Roman"/>
                <w:kern w:val="0"/>
                <w:sz w:val="24"/>
                <w:szCs w:val="24"/>
                <w:lang w:eastAsia="pt-PT"/>
                <w14:ligatures w14:val="none"/>
              </w:rPr>
              <w:t xml:space="preserve"> Conceitual</w:t>
            </w:r>
          </w:p>
        </w:tc>
      </w:tr>
      <w:tr w:rsidR="006C4AC3" w:rsidRPr="006C4AC3" w14:paraId="4D501F84" w14:textId="77777777">
        <w:trPr>
          <w:tblCellSpacing w:w="15" w:type="dxa"/>
        </w:trPr>
        <w:tc>
          <w:tcPr>
            <w:tcW w:w="0" w:type="auto"/>
            <w:vAlign w:val="center"/>
            <w:hideMark/>
          </w:tcPr>
          <w:p w14:paraId="04A2244F" w14:textId="77777777" w:rsidR="006C4AC3" w:rsidRPr="006C4AC3" w:rsidRDefault="006C4AC3" w:rsidP="006C4AC3">
            <w:pPr>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Modelos estruturais de LT</w:t>
            </w:r>
          </w:p>
        </w:tc>
        <w:tc>
          <w:tcPr>
            <w:tcW w:w="0" w:type="auto"/>
            <w:vAlign w:val="center"/>
            <w:hideMark/>
          </w:tcPr>
          <w:p w14:paraId="5B57AB36" w14:textId="77777777" w:rsidR="006C4AC3" w:rsidRPr="006C4AC3" w:rsidRDefault="006C4AC3" w:rsidP="006C4AC3">
            <w:pPr>
              <w:rPr>
                <w:rFonts w:eastAsia="Times New Roman" w:cs="Times New Roman"/>
                <w:kern w:val="0"/>
                <w:sz w:val="24"/>
                <w:szCs w:val="24"/>
                <w:lang w:eastAsia="pt-PT"/>
                <w14:ligatures w14:val="none"/>
              </w:rPr>
            </w:pPr>
            <w:r w:rsidRPr="006C4AC3">
              <w:rPr>
                <w:rFonts w:ascii="Segoe UI Emoji" w:eastAsia="Times New Roman" w:hAnsi="Segoe UI Emoji" w:cs="Segoe UI Emoji"/>
                <w:kern w:val="0"/>
                <w:sz w:val="24"/>
                <w:szCs w:val="24"/>
                <w:lang w:eastAsia="pt-PT"/>
                <w14:ligatures w14:val="none"/>
              </w:rPr>
              <w:t>❌</w:t>
            </w:r>
          </w:p>
        </w:tc>
      </w:tr>
      <w:tr w:rsidR="006C4AC3" w:rsidRPr="006C4AC3" w14:paraId="08F2EEA5" w14:textId="77777777">
        <w:trPr>
          <w:tblCellSpacing w:w="15" w:type="dxa"/>
        </w:trPr>
        <w:tc>
          <w:tcPr>
            <w:tcW w:w="0" w:type="auto"/>
            <w:vAlign w:val="center"/>
            <w:hideMark/>
          </w:tcPr>
          <w:p w14:paraId="15D5F02F" w14:textId="77777777" w:rsidR="006C4AC3" w:rsidRPr="006C4AC3" w:rsidRDefault="006C4AC3" w:rsidP="006C4AC3">
            <w:pPr>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Índice próprio de LT</w:t>
            </w:r>
          </w:p>
        </w:tc>
        <w:tc>
          <w:tcPr>
            <w:tcW w:w="0" w:type="auto"/>
            <w:vAlign w:val="center"/>
            <w:hideMark/>
          </w:tcPr>
          <w:p w14:paraId="4B6BFDC3" w14:textId="77777777" w:rsidR="006C4AC3" w:rsidRPr="006C4AC3" w:rsidRDefault="006C4AC3" w:rsidP="006C4AC3">
            <w:pPr>
              <w:rPr>
                <w:rFonts w:eastAsia="Times New Roman" w:cs="Times New Roman"/>
                <w:kern w:val="0"/>
                <w:sz w:val="24"/>
                <w:szCs w:val="24"/>
                <w:lang w:eastAsia="pt-PT"/>
                <w14:ligatures w14:val="none"/>
              </w:rPr>
            </w:pPr>
            <w:r w:rsidRPr="006C4AC3">
              <w:rPr>
                <w:rFonts w:ascii="Segoe UI Emoji" w:eastAsia="Times New Roman" w:hAnsi="Segoe UI Emoji" w:cs="Segoe UI Emoji"/>
                <w:kern w:val="0"/>
                <w:sz w:val="24"/>
                <w:szCs w:val="24"/>
                <w:lang w:eastAsia="pt-PT"/>
                <w14:ligatures w14:val="none"/>
              </w:rPr>
              <w:t>❌</w:t>
            </w:r>
          </w:p>
        </w:tc>
      </w:tr>
    </w:tbl>
    <w:p w14:paraId="6AB9EA62"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r w:rsidRPr="006C4AC3">
        <w:rPr>
          <w:rFonts w:ascii="Segoe UI Symbol" w:eastAsia="Times New Roman" w:hAnsi="Segoe UI Symbol" w:cs="Segoe UI Symbol"/>
          <w:kern w:val="0"/>
          <w:sz w:val="24"/>
          <w:szCs w:val="24"/>
          <w:lang w:eastAsia="pt-PT"/>
          <w14:ligatures w14:val="none"/>
        </w:rPr>
        <w:t>➡</w:t>
      </w:r>
      <w:r w:rsidRPr="006C4AC3">
        <w:rPr>
          <w:rFonts w:eastAsia="Times New Roman" w:cs="Times New Roman"/>
          <w:kern w:val="0"/>
          <w:sz w:val="24"/>
          <w:szCs w:val="24"/>
          <w:lang w:eastAsia="pt-PT"/>
          <w14:ligatures w14:val="none"/>
        </w:rPr>
        <w:t xml:space="preserve"> Aderência conceitual: </w:t>
      </w:r>
      <w:r w:rsidRPr="006C4AC3">
        <w:rPr>
          <w:rFonts w:eastAsia="Times New Roman" w:cs="Times New Roman"/>
          <w:b/>
          <w:bCs/>
          <w:kern w:val="0"/>
          <w:sz w:val="24"/>
          <w:szCs w:val="24"/>
          <w:lang w:eastAsia="pt-PT"/>
          <w14:ligatures w14:val="none"/>
        </w:rPr>
        <w:t>altíssima</w:t>
      </w:r>
      <w:r w:rsidRPr="006C4AC3">
        <w:rPr>
          <w:rFonts w:eastAsia="Times New Roman" w:cs="Times New Roman"/>
          <w:kern w:val="0"/>
          <w:sz w:val="24"/>
          <w:szCs w:val="24"/>
          <w:lang w:eastAsia="pt-PT"/>
          <w14:ligatures w14:val="none"/>
        </w:rPr>
        <w:br/>
      </w:r>
      <w:r w:rsidRPr="006C4AC3">
        <w:rPr>
          <w:rFonts w:ascii="Segoe UI Symbol" w:eastAsia="Times New Roman" w:hAnsi="Segoe UI Symbol" w:cs="Segoe UI Symbol"/>
          <w:kern w:val="0"/>
          <w:sz w:val="24"/>
          <w:szCs w:val="24"/>
          <w:lang w:eastAsia="pt-PT"/>
          <w14:ligatures w14:val="none"/>
        </w:rPr>
        <w:t>➡</w:t>
      </w:r>
      <w:r w:rsidRPr="006C4AC3">
        <w:rPr>
          <w:rFonts w:eastAsia="Times New Roman" w:cs="Times New Roman"/>
          <w:kern w:val="0"/>
          <w:sz w:val="24"/>
          <w:szCs w:val="24"/>
          <w:lang w:eastAsia="pt-PT"/>
          <w14:ligatures w14:val="none"/>
        </w:rPr>
        <w:t xml:space="preserve"> Aderência física direta: </w:t>
      </w:r>
      <w:r w:rsidRPr="006C4AC3">
        <w:rPr>
          <w:rFonts w:eastAsia="Times New Roman" w:cs="Times New Roman"/>
          <w:b/>
          <w:bCs/>
          <w:kern w:val="0"/>
          <w:sz w:val="24"/>
          <w:szCs w:val="24"/>
          <w:lang w:eastAsia="pt-PT"/>
          <w14:ligatures w14:val="none"/>
        </w:rPr>
        <w:t>baixa</w:t>
      </w:r>
    </w:p>
    <w:p w14:paraId="7961A583" w14:textId="77777777" w:rsidR="006C4AC3" w:rsidRPr="006C4AC3" w:rsidRDefault="006C4AC3" w:rsidP="006C4AC3">
      <w:pPr>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pict w14:anchorId="76B2D30F">
          <v:rect id="_x0000_i1035" style="width:0;height:1.5pt" o:hralign="center" o:hrstd="t" o:hr="t" fillcolor="#a0a0a0" stroked="f"/>
        </w:pict>
      </w:r>
    </w:p>
    <w:p w14:paraId="321792B8" w14:textId="77777777" w:rsidR="006C4AC3" w:rsidRPr="006C4AC3" w:rsidRDefault="006C4AC3" w:rsidP="006C4AC3">
      <w:pPr>
        <w:numPr>
          <w:ilvl w:val="0"/>
          <w:numId w:val="12"/>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Utilidade real para a sua tese</w:t>
      </w:r>
    </w:p>
    <w:p w14:paraId="4D6467B2"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Este artigo é:</w:t>
      </w:r>
    </w:p>
    <w:p w14:paraId="1FEB031D" w14:textId="77777777" w:rsidR="006C4AC3" w:rsidRPr="006C4AC3" w:rsidRDefault="006C4AC3" w:rsidP="006C4AC3">
      <w:pPr>
        <w:numPr>
          <w:ilvl w:val="0"/>
          <w:numId w:val="13"/>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 xml:space="preserve">a </w:t>
      </w:r>
      <w:r w:rsidRPr="006C4AC3">
        <w:rPr>
          <w:rFonts w:eastAsia="Times New Roman" w:cs="Times New Roman"/>
          <w:b/>
          <w:bCs/>
          <w:kern w:val="0"/>
          <w:sz w:val="24"/>
          <w:szCs w:val="24"/>
          <w:lang w:eastAsia="pt-PT"/>
          <w14:ligatures w14:val="none"/>
        </w:rPr>
        <w:t>espinha dorsal teórica</w:t>
      </w:r>
      <w:r w:rsidRPr="006C4AC3">
        <w:rPr>
          <w:rFonts w:eastAsia="Times New Roman" w:cs="Times New Roman"/>
          <w:kern w:val="0"/>
          <w:sz w:val="24"/>
          <w:szCs w:val="24"/>
          <w:lang w:eastAsia="pt-PT"/>
          <w14:ligatures w14:val="none"/>
        </w:rPr>
        <w:t xml:space="preserve"> do seu trabalho;</w:t>
      </w:r>
    </w:p>
    <w:p w14:paraId="15E33525" w14:textId="77777777" w:rsidR="006C4AC3" w:rsidRPr="006C4AC3" w:rsidRDefault="006C4AC3" w:rsidP="006C4AC3">
      <w:pPr>
        <w:numPr>
          <w:ilvl w:val="0"/>
          <w:numId w:val="13"/>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a justificativa normativa para:</w:t>
      </w:r>
    </w:p>
    <w:p w14:paraId="487A9C77" w14:textId="77777777" w:rsidR="006C4AC3" w:rsidRPr="006C4AC3" w:rsidRDefault="006C4AC3" w:rsidP="006C4AC3">
      <w:pPr>
        <w:numPr>
          <w:ilvl w:val="1"/>
          <w:numId w:val="13"/>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usar fragilidade,</w:t>
      </w:r>
    </w:p>
    <w:p w14:paraId="22D15AC6" w14:textId="77777777" w:rsidR="006C4AC3" w:rsidRPr="006C4AC3" w:rsidRDefault="006C4AC3" w:rsidP="006C4AC3">
      <w:pPr>
        <w:numPr>
          <w:ilvl w:val="1"/>
          <w:numId w:val="13"/>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 xml:space="preserve">usar curvas </w:t>
      </w:r>
      <w:proofErr w:type="spellStart"/>
      <w:r w:rsidRPr="006C4AC3">
        <w:rPr>
          <w:rFonts w:eastAsia="Times New Roman" w:cs="Times New Roman"/>
          <w:kern w:val="0"/>
          <w:sz w:val="24"/>
          <w:szCs w:val="24"/>
          <w:lang w:eastAsia="pt-PT"/>
          <w14:ligatures w14:val="none"/>
        </w:rPr>
        <w:t>desempenho×tempo</w:t>
      </w:r>
      <w:proofErr w:type="spellEnd"/>
      <w:r w:rsidRPr="006C4AC3">
        <w:rPr>
          <w:rFonts w:eastAsia="Times New Roman" w:cs="Times New Roman"/>
          <w:kern w:val="0"/>
          <w:sz w:val="24"/>
          <w:szCs w:val="24"/>
          <w:lang w:eastAsia="pt-PT"/>
          <w14:ligatures w14:val="none"/>
        </w:rPr>
        <w:t>,</w:t>
      </w:r>
    </w:p>
    <w:p w14:paraId="549413BA" w14:textId="77777777" w:rsidR="006C4AC3" w:rsidRPr="006C4AC3" w:rsidRDefault="006C4AC3" w:rsidP="006C4AC3">
      <w:pPr>
        <w:numPr>
          <w:ilvl w:val="1"/>
          <w:numId w:val="13"/>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lastRenderedPageBreak/>
        <w:t>separar confiabilidade de resiliência,</w:t>
      </w:r>
    </w:p>
    <w:p w14:paraId="4FC5B071" w14:textId="77777777" w:rsidR="006C4AC3" w:rsidRPr="006C4AC3" w:rsidRDefault="006C4AC3" w:rsidP="006C4AC3">
      <w:pPr>
        <w:numPr>
          <w:ilvl w:val="1"/>
          <w:numId w:val="13"/>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propor um índice próprio de LT;</w:t>
      </w:r>
    </w:p>
    <w:p w14:paraId="6E0ED223" w14:textId="77777777" w:rsidR="006C4AC3" w:rsidRPr="006C4AC3" w:rsidRDefault="006C4AC3" w:rsidP="006C4AC3">
      <w:pPr>
        <w:numPr>
          <w:ilvl w:val="0"/>
          <w:numId w:val="13"/>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o respaldo científico de que seu trabalho é:</w:t>
      </w:r>
    </w:p>
    <w:p w14:paraId="49A088EB" w14:textId="77777777" w:rsidR="006C4AC3" w:rsidRPr="006C4AC3" w:rsidRDefault="006C4AC3" w:rsidP="006C4AC3">
      <w:pPr>
        <w:spacing w:before="100" w:beforeAutospacing="1" w:after="100" w:afterAutospacing="1"/>
        <w:ind w:left="720"/>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alinhado ao estado da arte internacional.</w:t>
      </w:r>
    </w:p>
    <w:p w14:paraId="2EB1711F" w14:textId="77777777" w:rsidR="006C4AC3" w:rsidRPr="006C4AC3" w:rsidRDefault="006C4AC3" w:rsidP="006C4AC3">
      <w:pPr>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pict w14:anchorId="4557E467">
          <v:rect id="_x0000_i1036" style="width:0;height:1.5pt" o:hralign="center" o:hrstd="t" o:hr="t" fillcolor="#a0a0a0" stroked="f"/>
        </w:pict>
      </w:r>
    </w:p>
    <w:p w14:paraId="684D6C41" w14:textId="77777777" w:rsidR="006C4AC3" w:rsidRPr="006C4AC3" w:rsidRDefault="006C4AC3" w:rsidP="006C4AC3">
      <w:pPr>
        <w:numPr>
          <w:ilvl w:val="0"/>
          <w:numId w:val="14"/>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Decisão final</w:t>
      </w:r>
    </w:p>
    <w:p w14:paraId="7D3EEA14"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r w:rsidRPr="006C4AC3">
        <w:rPr>
          <w:rFonts w:ascii="Segoe UI Emoji" w:eastAsia="Times New Roman" w:hAnsi="Segoe UI Emoji" w:cs="Segoe UI Emoji"/>
          <w:kern w:val="0"/>
          <w:sz w:val="24"/>
          <w:szCs w:val="24"/>
          <w:lang w:eastAsia="pt-PT"/>
          <w14:ligatures w14:val="none"/>
        </w:rPr>
        <w:t>✅</w:t>
      </w:r>
      <w:r w:rsidRPr="006C4AC3">
        <w:rPr>
          <w:rFonts w:eastAsia="Times New Roman" w:cs="Times New Roman"/>
          <w:kern w:val="0"/>
          <w:sz w:val="24"/>
          <w:szCs w:val="24"/>
          <w:lang w:eastAsia="pt-PT"/>
          <w14:ligatures w14:val="none"/>
        </w:rPr>
        <w:t xml:space="preserve"> </w:t>
      </w:r>
      <w:r w:rsidRPr="006C4AC3">
        <w:rPr>
          <w:rFonts w:eastAsia="Times New Roman" w:cs="Times New Roman"/>
          <w:b/>
          <w:bCs/>
          <w:kern w:val="0"/>
          <w:sz w:val="24"/>
          <w:szCs w:val="24"/>
          <w:lang w:eastAsia="pt-PT"/>
          <w14:ligatures w14:val="none"/>
        </w:rPr>
        <w:t>DECISÃO: GUARDAR COMO REFERÊNCIA CENTRAL ESTRUTURANTE DA TESE</w:t>
      </w:r>
    </w:p>
    <w:p w14:paraId="71A6F3C1"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Sem ele, sua tese fica conceitualmente frágil.</w:t>
      </w:r>
      <w:r w:rsidRPr="006C4AC3">
        <w:rPr>
          <w:rFonts w:eastAsia="Times New Roman" w:cs="Times New Roman"/>
          <w:kern w:val="0"/>
          <w:sz w:val="24"/>
          <w:szCs w:val="24"/>
          <w:lang w:eastAsia="pt-PT"/>
          <w14:ligatures w14:val="none"/>
        </w:rPr>
        <w:br/>
        <w:t>Com ele, sua tese fica normativamente blindada.</w:t>
      </w:r>
    </w:p>
    <w:p w14:paraId="2CE221EF" w14:textId="77777777" w:rsidR="006C4AC3" w:rsidRPr="006C4AC3" w:rsidRDefault="006C4AC3" w:rsidP="006C4AC3">
      <w:pPr>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pict w14:anchorId="57E22A4B">
          <v:rect id="_x0000_i1037" style="width:0;height:1.5pt" o:hralign="center" o:hrstd="t" o:hr="t" fillcolor="#a0a0a0" stroked="f"/>
        </w:pict>
      </w:r>
    </w:p>
    <w:p w14:paraId="7A3C9A2C" w14:textId="77777777" w:rsidR="006C4AC3" w:rsidRPr="006C4AC3" w:rsidRDefault="006C4AC3" w:rsidP="006C4AC3">
      <w:pPr>
        <w:numPr>
          <w:ilvl w:val="0"/>
          <w:numId w:val="15"/>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Classificação resumida (para a tabela)</w:t>
      </w:r>
    </w:p>
    <w:p w14:paraId="01F38DB6" w14:textId="77777777" w:rsidR="006C4AC3" w:rsidRPr="006C4AC3" w:rsidRDefault="006C4AC3" w:rsidP="006C4AC3">
      <w:pPr>
        <w:numPr>
          <w:ilvl w:val="0"/>
          <w:numId w:val="16"/>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b/>
          <w:bCs/>
          <w:kern w:val="0"/>
          <w:sz w:val="24"/>
          <w:szCs w:val="24"/>
          <w:lang w:eastAsia="pt-PT"/>
          <w14:ligatures w14:val="none"/>
        </w:rPr>
        <w:t>Decisão:</w:t>
      </w:r>
      <w:r w:rsidRPr="006C4AC3">
        <w:rPr>
          <w:rFonts w:eastAsia="Times New Roman" w:cs="Times New Roman"/>
          <w:kern w:val="0"/>
          <w:sz w:val="24"/>
          <w:szCs w:val="24"/>
          <w:lang w:eastAsia="pt-PT"/>
          <w14:ligatures w14:val="none"/>
        </w:rPr>
        <w:t xml:space="preserve"> Guardado</w:t>
      </w:r>
    </w:p>
    <w:p w14:paraId="77903F2E" w14:textId="77777777" w:rsidR="006C4AC3" w:rsidRPr="006C4AC3" w:rsidRDefault="006C4AC3" w:rsidP="006C4AC3">
      <w:pPr>
        <w:numPr>
          <w:ilvl w:val="0"/>
          <w:numId w:val="16"/>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b/>
          <w:bCs/>
          <w:kern w:val="0"/>
          <w:sz w:val="24"/>
          <w:szCs w:val="24"/>
          <w:lang w:eastAsia="pt-PT"/>
          <w14:ligatures w14:val="none"/>
        </w:rPr>
        <w:t>Foco:</w:t>
      </w:r>
      <w:r w:rsidRPr="006C4AC3">
        <w:rPr>
          <w:rFonts w:eastAsia="Times New Roman" w:cs="Times New Roman"/>
          <w:kern w:val="0"/>
          <w:sz w:val="24"/>
          <w:szCs w:val="24"/>
          <w:lang w:eastAsia="pt-PT"/>
          <w14:ligatures w14:val="none"/>
        </w:rPr>
        <w:t xml:space="preserve"> Definição, métodos e quantificação da resiliência em sistemas elétricos</w:t>
      </w:r>
    </w:p>
    <w:p w14:paraId="73D4AD2A" w14:textId="77777777" w:rsidR="006C4AC3" w:rsidRPr="006C4AC3" w:rsidRDefault="006C4AC3" w:rsidP="006C4AC3">
      <w:pPr>
        <w:numPr>
          <w:ilvl w:val="0"/>
          <w:numId w:val="16"/>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b/>
          <w:bCs/>
          <w:kern w:val="0"/>
          <w:sz w:val="24"/>
          <w:szCs w:val="24"/>
          <w:lang w:eastAsia="pt-PT"/>
          <w14:ligatures w14:val="none"/>
        </w:rPr>
        <w:t>Nível de importância:</w:t>
      </w:r>
      <w:r w:rsidRPr="006C4AC3">
        <w:rPr>
          <w:rFonts w:eastAsia="Times New Roman" w:cs="Times New Roman"/>
          <w:kern w:val="0"/>
          <w:sz w:val="24"/>
          <w:szCs w:val="24"/>
          <w:lang w:eastAsia="pt-PT"/>
          <w14:ligatures w14:val="none"/>
        </w:rPr>
        <w:t xml:space="preserve"> Altíssimo</w:t>
      </w:r>
    </w:p>
    <w:p w14:paraId="410412ED" w14:textId="77777777" w:rsidR="006C4AC3" w:rsidRPr="006C4AC3" w:rsidRDefault="006C4AC3" w:rsidP="006C4AC3">
      <w:pPr>
        <w:numPr>
          <w:ilvl w:val="0"/>
          <w:numId w:val="16"/>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b/>
          <w:bCs/>
          <w:kern w:val="0"/>
          <w:sz w:val="24"/>
          <w:szCs w:val="24"/>
          <w:lang w:eastAsia="pt-PT"/>
          <w14:ligatures w14:val="none"/>
        </w:rPr>
        <w:t>Ponto da tese:</w:t>
      </w:r>
    </w:p>
    <w:p w14:paraId="5456F2E0" w14:textId="77777777" w:rsidR="006C4AC3" w:rsidRPr="006C4AC3" w:rsidRDefault="006C4AC3" w:rsidP="006C4AC3">
      <w:pPr>
        <w:numPr>
          <w:ilvl w:val="1"/>
          <w:numId w:val="16"/>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Contextualização</w:t>
      </w:r>
    </w:p>
    <w:p w14:paraId="26B060FB" w14:textId="77777777" w:rsidR="006C4AC3" w:rsidRPr="006C4AC3" w:rsidRDefault="006C4AC3" w:rsidP="006C4AC3">
      <w:pPr>
        <w:numPr>
          <w:ilvl w:val="1"/>
          <w:numId w:val="16"/>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Revisão da literatura</w:t>
      </w:r>
    </w:p>
    <w:p w14:paraId="57853C59" w14:textId="77777777" w:rsidR="006C4AC3" w:rsidRPr="006C4AC3" w:rsidRDefault="006C4AC3" w:rsidP="006C4AC3">
      <w:pPr>
        <w:numPr>
          <w:ilvl w:val="1"/>
          <w:numId w:val="16"/>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Justificativa da escolha</w:t>
      </w:r>
    </w:p>
    <w:p w14:paraId="2D6900E5" w14:textId="77777777" w:rsidR="006C4AC3" w:rsidRPr="006C4AC3" w:rsidRDefault="006C4AC3" w:rsidP="006C4AC3">
      <w:pPr>
        <w:numPr>
          <w:ilvl w:val="1"/>
          <w:numId w:val="16"/>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Metodologia adotada</w:t>
      </w:r>
    </w:p>
    <w:p w14:paraId="30540D83" w14:textId="77777777" w:rsidR="006C4AC3" w:rsidRPr="006C4AC3" w:rsidRDefault="006C4AC3" w:rsidP="006C4AC3">
      <w:pPr>
        <w:numPr>
          <w:ilvl w:val="1"/>
          <w:numId w:val="16"/>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Resiliência dos sistemas elétricos</w:t>
      </w:r>
    </w:p>
    <w:p w14:paraId="23971689" w14:textId="77777777" w:rsidR="006C4AC3" w:rsidRPr="006C4AC3" w:rsidRDefault="006C4AC3" w:rsidP="006C4AC3">
      <w:pPr>
        <w:numPr>
          <w:ilvl w:val="0"/>
          <w:numId w:val="16"/>
        </w:num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b/>
          <w:bCs/>
          <w:kern w:val="0"/>
          <w:sz w:val="24"/>
          <w:szCs w:val="24"/>
          <w:lang w:eastAsia="pt-PT"/>
          <w14:ligatures w14:val="none"/>
        </w:rPr>
        <w:t>Pontuação (Resiliência de LT):</w:t>
      </w:r>
      <w:r w:rsidRPr="006C4AC3">
        <w:rPr>
          <w:rFonts w:eastAsia="Times New Roman" w:cs="Times New Roman"/>
          <w:kern w:val="0"/>
          <w:sz w:val="24"/>
          <w:szCs w:val="24"/>
          <w:lang w:eastAsia="pt-PT"/>
          <w14:ligatures w14:val="none"/>
        </w:rPr>
        <w:t xml:space="preserve"> </w:t>
      </w:r>
      <w:r w:rsidRPr="006C4AC3">
        <w:rPr>
          <w:rFonts w:eastAsia="Times New Roman" w:cs="Times New Roman"/>
          <w:b/>
          <w:bCs/>
          <w:kern w:val="0"/>
          <w:sz w:val="24"/>
          <w:szCs w:val="24"/>
          <w:lang w:eastAsia="pt-PT"/>
          <w14:ligatures w14:val="none"/>
        </w:rPr>
        <w:t>8,5 / 10</w:t>
      </w:r>
    </w:p>
    <w:p w14:paraId="7648453B" w14:textId="77777777" w:rsidR="006C4AC3" w:rsidRPr="006C4AC3" w:rsidRDefault="006C4AC3" w:rsidP="006C4AC3">
      <w:pPr>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pict w14:anchorId="1A7D6826">
          <v:rect id="_x0000_i1038" style="width:0;height:1.5pt" o:hralign="center" o:hrstd="t" o:hr="t" fillcolor="#a0a0a0" stroked="f"/>
        </w:pict>
      </w:r>
    </w:p>
    <w:p w14:paraId="4D94E2DE"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r w:rsidRPr="006C4AC3">
        <w:rPr>
          <w:rFonts w:ascii="Segoe UI Emoji" w:eastAsia="Times New Roman" w:hAnsi="Segoe UI Emoji" w:cs="Segoe UI Emoji"/>
          <w:kern w:val="0"/>
          <w:sz w:val="24"/>
          <w:szCs w:val="24"/>
          <w:lang w:eastAsia="pt-PT"/>
          <w14:ligatures w14:val="none"/>
        </w:rPr>
        <w:t>📌</w:t>
      </w:r>
      <w:r w:rsidRPr="006C4AC3">
        <w:rPr>
          <w:rFonts w:eastAsia="Times New Roman" w:cs="Times New Roman"/>
          <w:kern w:val="0"/>
          <w:sz w:val="24"/>
          <w:szCs w:val="24"/>
          <w:lang w:eastAsia="pt-PT"/>
          <w14:ligatures w14:val="none"/>
        </w:rPr>
        <w:t xml:space="preserve"> </w:t>
      </w:r>
      <w:r w:rsidRPr="006C4AC3">
        <w:rPr>
          <w:rFonts w:eastAsia="Times New Roman" w:cs="Times New Roman"/>
          <w:b/>
          <w:bCs/>
          <w:kern w:val="0"/>
          <w:sz w:val="24"/>
          <w:szCs w:val="24"/>
          <w:lang w:eastAsia="pt-PT"/>
          <w14:ligatures w14:val="none"/>
        </w:rPr>
        <w:t>Síntese final</w:t>
      </w:r>
    </w:p>
    <w:p w14:paraId="63D030FE"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Este artigo não diz como a torre cai.</w:t>
      </w:r>
      <w:r w:rsidRPr="006C4AC3">
        <w:rPr>
          <w:rFonts w:eastAsia="Times New Roman" w:cs="Times New Roman"/>
          <w:kern w:val="0"/>
          <w:sz w:val="24"/>
          <w:szCs w:val="24"/>
          <w:lang w:eastAsia="pt-PT"/>
          <w14:ligatures w14:val="none"/>
        </w:rPr>
        <w:br/>
        <w:t xml:space="preserve">Ele diz </w:t>
      </w:r>
      <w:r w:rsidRPr="006C4AC3">
        <w:rPr>
          <w:rFonts w:eastAsia="Times New Roman" w:cs="Times New Roman"/>
          <w:b/>
          <w:bCs/>
          <w:kern w:val="0"/>
          <w:sz w:val="24"/>
          <w:szCs w:val="24"/>
          <w:lang w:eastAsia="pt-PT"/>
          <w14:ligatures w14:val="none"/>
        </w:rPr>
        <w:t>como a ciência mede o que acontece depois que ela cai</w:t>
      </w:r>
      <w:r w:rsidRPr="006C4AC3">
        <w:rPr>
          <w:rFonts w:eastAsia="Times New Roman" w:cs="Times New Roman"/>
          <w:kern w:val="0"/>
          <w:sz w:val="24"/>
          <w:szCs w:val="24"/>
          <w:lang w:eastAsia="pt-PT"/>
          <w14:ligatures w14:val="none"/>
        </w:rPr>
        <w:br/>
        <w:t xml:space="preserve">e por que isso é chamado de </w:t>
      </w:r>
      <w:r w:rsidRPr="006C4AC3">
        <w:rPr>
          <w:rFonts w:eastAsia="Times New Roman" w:cs="Times New Roman"/>
          <w:i/>
          <w:iCs/>
          <w:kern w:val="0"/>
          <w:sz w:val="24"/>
          <w:szCs w:val="24"/>
          <w:lang w:eastAsia="pt-PT"/>
          <w14:ligatures w14:val="none"/>
        </w:rPr>
        <w:t>resiliência</w:t>
      </w:r>
      <w:r w:rsidRPr="006C4AC3">
        <w:rPr>
          <w:rFonts w:eastAsia="Times New Roman" w:cs="Times New Roman"/>
          <w:kern w:val="0"/>
          <w:sz w:val="24"/>
          <w:szCs w:val="24"/>
          <w:lang w:eastAsia="pt-PT"/>
          <w14:ligatures w14:val="none"/>
        </w:rPr>
        <w:t xml:space="preserve"> e não de </w:t>
      </w:r>
      <w:r w:rsidRPr="006C4AC3">
        <w:rPr>
          <w:rFonts w:eastAsia="Times New Roman" w:cs="Times New Roman"/>
          <w:i/>
          <w:iCs/>
          <w:kern w:val="0"/>
          <w:sz w:val="24"/>
          <w:szCs w:val="24"/>
          <w:lang w:eastAsia="pt-PT"/>
          <w14:ligatures w14:val="none"/>
        </w:rPr>
        <w:t>confiabilidade</w:t>
      </w:r>
      <w:r w:rsidRPr="006C4AC3">
        <w:rPr>
          <w:rFonts w:eastAsia="Times New Roman" w:cs="Times New Roman"/>
          <w:kern w:val="0"/>
          <w:sz w:val="24"/>
          <w:szCs w:val="24"/>
          <w:lang w:eastAsia="pt-PT"/>
          <w14:ligatures w14:val="none"/>
        </w:rPr>
        <w:t>.</w:t>
      </w:r>
    </w:p>
    <w:p w14:paraId="44F47204" w14:textId="77777777" w:rsidR="006C4AC3" w:rsidRPr="006C4AC3" w:rsidRDefault="006C4AC3" w:rsidP="006C4AC3">
      <w:pPr>
        <w:spacing w:before="100" w:beforeAutospacing="1" w:after="100" w:afterAutospacing="1"/>
        <w:rPr>
          <w:rFonts w:eastAsia="Times New Roman" w:cs="Times New Roman"/>
          <w:kern w:val="0"/>
          <w:sz w:val="24"/>
          <w:szCs w:val="24"/>
          <w:lang w:eastAsia="pt-PT"/>
          <w14:ligatures w14:val="none"/>
        </w:rPr>
      </w:pPr>
      <w:r w:rsidRPr="006C4AC3">
        <w:rPr>
          <w:rFonts w:eastAsia="Times New Roman" w:cs="Times New Roman"/>
          <w:kern w:val="0"/>
          <w:sz w:val="24"/>
          <w:szCs w:val="24"/>
          <w:lang w:eastAsia="pt-PT"/>
          <w14:ligatures w14:val="none"/>
        </w:rPr>
        <w:t>É o pilar teórico do seu doutoramento.</w:t>
      </w:r>
    </w:p>
    <w:p w14:paraId="2090D298" w14:textId="77777777" w:rsidR="000F2A9D" w:rsidRPr="006C4AC3" w:rsidRDefault="000F2A9D"/>
    <w:sectPr w:rsidR="000F2A9D" w:rsidRPr="006C4AC3" w:rsidSect="00B7282F">
      <w:pgSz w:w="11906" w:h="16838" w:code="9"/>
      <w:pgMar w:top="1440" w:right="1457" w:bottom="1355" w:left="1797" w:header="720" w:footer="68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6542"/>
    <w:multiLevelType w:val="multilevel"/>
    <w:tmpl w:val="A9FC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F2D49"/>
    <w:multiLevelType w:val="multilevel"/>
    <w:tmpl w:val="2758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E3049"/>
    <w:multiLevelType w:val="multilevel"/>
    <w:tmpl w:val="1F1E3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622CA"/>
    <w:multiLevelType w:val="multilevel"/>
    <w:tmpl w:val="CDBE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F25B0"/>
    <w:multiLevelType w:val="multilevel"/>
    <w:tmpl w:val="FFD42A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557804"/>
    <w:multiLevelType w:val="multilevel"/>
    <w:tmpl w:val="2092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5634A"/>
    <w:multiLevelType w:val="multilevel"/>
    <w:tmpl w:val="90DC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C10F79"/>
    <w:multiLevelType w:val="multilevel"/>
    <w:tmpl w:val="A336F66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384058"/>
    <w:multiLevelType w:val="multilevel"/>
    <w:tmpl w:val="4476D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C26D1C"/>
    <w:multiLevelType w:val="multilevel"/>
    <w:tmpl w:val="1B6C77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EC39EE"/>
    <w:multiLevelType w:val="multilevel"/>
    <w:tmpl w:val="3C0AD9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1D5781"/>
    <w:multiLevelType w:val="multilevel"/>
    <w:tmpl w:val="921CC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796FA6"/>
    <w:multiLevelType w:val="multilevel"/>
    <w:tmpl w:val="1D5A4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AA2F7F"/>
    <w:multiLevelType w:val="multilevel"/>
    <w:tmpl w:val="9B988F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040CB1"/>
    <w:multiLevelType w:val="multilevel"/>
    <w:tmpl w:val="0F7E9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9A6245"/>
    <w:multiLevelType w:val="multilevel"/>
    <w:tmpl w:val="92E046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1586353">
    <w:abstractNumId w:val="12"/>
  </w:num>
  <w:num w:numId="2" w16cid:durableId="498348657">
    <w:abstractNumId w:val="14"/>
  </w:num>
  <w:num w:numId="3" w16cid:durableId="476143873">
    <w:abstractNumId w:val="9"/>
  </w:num>
  <w:num w:numId="4" w16cid:durableId="1737819209">
    <w:abstractNumId w:val="6"/>
  </w:num>
  <w:num w:numId="5" w16cid:durableId="1014307935">
    <w:abstractNumId w:val="1"/>
  </w:num>
  <w:num w:numId="6" w16cid:durableId="1099134973">
    <w:abstractNumId w:val="5"/>
  </w:num>
  <w:num w:numId="7" w16cid:durableId="1990744829">
    <w:abstractNumId w:val="2"/>
  </w:num>
  <w:num w:numId="8" w16cid:durableId="280572674">
    <w:abstractNumId w:val="3"/>
  </w:num>
  <w:num w:numId="9" w16cid:durableId="1988587156">
    <w:abstractNumId w:val="0"/>
  </w:num>
  <w:num w:numId="10" w16cid:durableId="808136020">
    <w:abstractNumId w:val="15"/>
  </w:num>
  <w:num w:numId="11" w16cid:durableId="1996955870">
    <w:abstractNumId w:val="10"/>
  </w:num>
  <w:num w:numId="12" w16cid:durableId="890926583">
    <w:abstractNumId w:val="13"/>
  </w:num>
  <w:num w:numId="13" w16cid:durableId="1061101450">
    <w:abstractNumId w:val="11"/>
  </w:num>
  <w:num w:numId="14" w16cid:durableId="1192763857">
    <w:abstractNumId w:val="7"/>
  </w:num>
  <w:num w:numId="15" w16cid:durableId="1444572128">
    <w:abstractNumId w:val="4"/>
  </w:num>
  <w:num w:numId="16" w16cid:durableId="10960538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A9D"/>
    <w:rsid w:val="000131F2"/>
    <w:rsid w:val="00050A60"/>
    <w:rsid w:val="0007293B"/>
    <w:rsid w:val="0008424C"/>
    <w:rsid w:val="00096FFB"/>
    <w:rsid w:val="000C5A52"/>
    <w:rsid w:val="000C625D"/>
    <w:rsid w:val="000D45BD"/>
    <w:rsid w:val="000F2A9D"/>
    <w:rsid w:val="00172112"/>
    <w:rsid w:val="00172264"/>
    <w:rsid w:val="00196796"/>
    <w:rsid w:val="001F4610"/>
    <w:rsid w:val="0022366E"/>
    <w:rsid w:val="0024739D"/>
    <w:rsid w:val="00285BB1"/>
    <w:rsid w:val="002A63F1"/>
    <w:rsid w:val="002F61AF"/>
    <w:rsid w:val="00347332"/>
    <w:rsid w:val="00386732"/>
    <w:rsid w:val="00393441"/>
    <w:rsid w:val="0039444F"/>
    <w:rsid w:val="003F704C"/>
    <w:rsid w:val="004234AF"/>
    <w:rsid w:val="00423B9B"/>
    <w:rsid w:val="00435A17"/>
    <w:rsid w:val="004B5BB7"/>
    <w:rsid w:val="004E20B1"/>
    <w:rsid w:val="00502614"/>
    <w:rsid w:val="005272F0"/>
    <w:rsid w:val="0055062B"/>
    <w:rsid w:val="00595B01"/>
    <w:rsid w:val="005C7A7F"/>
    <w:rsid w:val="0061413D"/>
    <w:rsid w:val="006363A1"/>
    <w:rsid w:val="006B4413"/>
    <w:rsid w:val="006C4AC3"/>
    <w:rsid w:val="006E78DB"/>
    <w:rsid w:val="00744A15"/>
    <w:rsid w:val="00785F46"/>
    <w:rsid w:val="007E0455"/>
    <w:rsid w:val="007E69F0"/>
    <w:rsid w:val="00804B85"/>
    <w:rsid w:val="008226B2"/>
    <w:rsid w:val="008C0D5E"/>
    <w:rsid w:val="009B0300"/>
    <w:rsid w:val="00A04542"/>
    <w:rsid w:val="00A74270"/>
    <w:rsid w:val="00A773DD"/>
    <w:rsid w:val="00A91291"/>
    <w:rsid w:val="00A94B20"/>
    <w:rsid w:val="00AA4524"/>
    <w:rsid w:val="00AC5231"/>
    <w:rsid w:val="00AD743E"/>
    <w:rsid w:val="00B023F4"/>
    <w:rsid w:val="00B30ED7"/>
    <w:rsid w:val="00B7282F"/>
    <w:rsid w:val="00B753F9"/>
    <w:rsid w:val="00B7708D"/>
    <w:rsid w:val="00B811CD"/>
    <w:rsid w:val="00B873AE"/>
    <w:rsid w:val="00BC1242"/>
    <w:rsid w:val="00BD2C19"/>
    <w:rsid w:val="00BF51C6"/>
    <w:rsid w:val="00C03A12"/>
    <w:rsid w:val="00CA1292"/>
    <w:rsid w:val="00CC6B35"/>
    <w:rsid w:val="00CE4C5C"/>
    <w:rsid w:val="00D25A09"/>
    <w:rsid w:val="00D36EA1"/>
    <w:rsid w:val="00D63D8E"/>
    <w:rsid w:val="00E26197"/>
    <w:rsid w:val="00E2772A"/>
    <w:rsid w:val="00E5575A"/>
    <w:rsid w:val="00ED59D0"/>
    <w:rsid w:val="00EF273B"/>
    <w:rsid w:val="00F27993"/>
    <w:rsid w:val="00F7611F"/>
    <w:rsid w:val="00F77278"/>
    <w:rsid w:val="00FE0A4D"/>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2F12C"/>
  <w15:chartTrackingRefBased/>
  <w15:docId w15:val="{DF00CE82-7BC6-4052-BD48-EA31EEBDB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3F4"/>
    <w:pPr>
      <w:spacing w:after="0" w:line="240" w:lineRule="auto"/>
    </w:pPr>
    <w:rPr>
      <w:rFonts w:ascii="Times New Roman" w:hAnsi="Times New Roman"/>
      <w:kern w:val="2"/>
    </w:rPr>
  </w:style>
  <w:style w:type="paragraph" w:styleId="Heading1">
    <w:name w:val="heading 1"/>
    <w:basedOn w:val="Normal"/>
    <w:next w:val="Normal"/>
    <w:link w:val="Heading1Char"/>
    <w:uiPriority w:val="9"/>
    <w:qFormat/>
    <w:rsid w:val="00B7708D"/>
    <w:pPr>
      <w:keepNext/>
      <w:keepLines/>
      <w:spacing w:before="48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B7708D"/>
    <w:pPr>
      <w:keepNext/>
      <w:keepLines/>
      <w:spacing w:before="20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B7708D"/>
    <w:pPr>
      <w:keepNext/>
      <w:keepLines/>
      <w:spacing w:before="20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B7708D"/>
    <w:pPr>
      <w:keepNext/>
      <w:keepLines/>
      <w:spacing w:before="200"/>
      <w:outlineLvl w:val="3"/>
    </w:pPr>
    <w:rPr>
      <w:rFonts w:eastAsiaTheme="majorEastAsia" w:cstheme="majorBidi"/>
      <w:b/>
      <w:bCs/>
      <w:i/>
      <w:iCs/>
    </w:rPr>
  </w:style>
  <w:style w:type="paragraph" w:styleId="Heading5">
    <w:name w:val="heading 5"/>
    <w:basedOn w:val="Normal"/>
    <w:next w:val="Normal"/>
    <w:link w:val="Heading5Char"/>
    <w:uiPriority w:val="9"/>
    <w:semiHidden/>
    <w:unhideWhenUsed/>
    <w:qFormat/>
    <w:rsid w:val="000F2A9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F2A9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F2A9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F2A9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F2A9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08D"/>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B7708D"/>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B7708D"/>
    <w:rPr>
      <w:rFonts w:ascii="Times New Roman" w:eastAsiaTheme="majorEastAsia" w:hAnsi="Times New Roman" w:cstheme="majorBidi"/>
      <w:b/>
      <w:bCs/>
    </w:rPr>
  </w:style>
  <w:style w:type="character" w:customStyle="1" w:styleId="Heading4Char">
    <w:name w:val="Heading 4 Char"/>
    <w:basedOn w:val="DefaultParagraphFont"/>
    <w:link w:val="Heading4"/>
    <w:uiPriority w:val="9"/>
    <w:semiHidden/>
    <w:rsid w:val="00B7708D"/>
    <w:rPr>
      <w:rFonts w:ascii="Times New Roman" w:eastAsiaTheme="majorEastAsia" w:hAnsi="Times New Roman" w:cstheme="majorBidi"/>
      <w:b/>
      <w:bCs/>
      <w:i/>
      <w:iCs/>
    </w:rPr>
  </w:style>
  <w:style w:type="paragraph" w:styleId="Title">
    <w:name w:val="Title"/>
    <w:basedOn w:val="Normal"/>
    <w:next w:val="Normal"/>
    <w:link w:val="TitleChar"/>
    <w:uiPriority w:val="10"/>
    <w:qFormat/>
    <w:rsid w:val="00B7708D"/>
    <w:pPr>
      <w:pBdr>
        <w:bottom w:val="single" w:sz="8" w:space="4" w:color="auto"/>
      </w:pBdr>
      <w:spacing w:after="300"/>
      <w:contextualSpacing/>
    </w:pPr>
    <w:rPr>
      <w:rFonts w:eastAsiaTheme="majorEastAsia" w:cstheme="majorBidi"/>
      <w:spacing w:val="5"/>
      <w:kern w:val="28"/>
      <w:sz w:val="32"/>
      <w:szCs w:val="52"/>
    </w:rPr>
  </w:style>
  <w:style w:type="character" w:customStyle="1" w:styleId="TitleChar">
    <w:name w:val="Title Char"/>
    <w:basedOn w:val="DefaultParagraphFont"/>
    <w:link w:val="Title"/>
    <w:uiPriority w:val="10"/>
    <w:rsid w:val="00B7708D"/>
    <w:rPr>
      <w:rFonts w:ascii="Times New Roman" w:eastAsiaTheme="majorEastAsia" w:hAnsi="Times New Roman" w:cstheme="majorBidi"/>
      <w:spacing w:val="5"/>
      <w:kern w:val="28"/>
      <w:sz w:val="32"/>
      <w:szCs w:val="52"/>
    </w:rPr>
  </w:style>
  <w:style w:type="paragraph" w:styleId="Subtitle">
    <w:name w:val="Subtitle"/>
    <w:basedOn w:val="Normal"/>
    <w:next w:val="Normal"/>
    <w:link w:val="SubtitleChar"/>
    <w:uiPriority w:val="11"/>
    <w:qFormat/>
    <w:rsid w:val="00B7708D"/>
    <w:pPr>
      <w:numPr>
        <w:ilvl w:val="1"/>
      </w:numPr>
    </w:pPr>
    <w:rPr>
      <w:rFonts w:eastAsiaTheme="majorEastAsia" w:cstheme="majorBidi"/>
      <w:i/>
      <w:iCs/>
      <w:spacing w:val="15"/>
      <w:sz w:val="24"/>
      <w:szCs w:val="24"/>
    </w:rPr>
  </w:style>
  <w:style w:type="character" w:customStyle="1" w:styleId="SubtitleChar">
    <w:name w:val="Subtitle Char"/>
    <w:basedOn w:val="DefaultParagraphFont"/>
    <w:link w:val="Subtitle"/>
    <w:uiPriority w:val="11"/>
    <w:rsid w:val="00B7708D"/>
    <w:rPr>
      <w:rFonts w:ascii="Times New Roman" w:eastAsiaTheme="majorEastAsia" w:hAnsi="Times New Roman" w:cstheme="majorBidi"/>
      <w:i/>
      <w:iCs/>
      <w:spacing w:val="15"/>
      <w:sz w:val="24"/>
      <w:szCs w:val="24"/>
    </w:rPr>
  </w:style>
  <w:style w:type="paragraph" w:styleId="Quote">
    <w:name w:val="Quote"/>
    <w:basedOn w:val="Normal"/>
    <w:next w:val="Normal"/>
    <w:link w:val="QuoteChar"/>
    <w:uiPriority w:val="29"/>
    <w:qFormat/>
    <w:rsid w:val="00B7708D"/>
    <w:rPr>
      <w:i/>
      <w:iCs/>
    </w:rPr>
  </w:style>
  <w:style w:type="character" w:customStyle="1" w:styleId="QuoteChar">
    <w:name w:val="Quote Char"/>
    <w:basedOn w:val="DefaultParagraphFont"/>
    <w:link w:val="Quote"/>
    <w:uiPriority w:val="29"/>
    <w:rsid w:val="00B7708D"/>
    <w:rPr>
      <w:rFonts w:ascii="Times New Roman" w:hAnsi="Times New Roman"/>
      <w:i/>
      <w:iCs/>
    </w:rPr>
  </w:style>
  <w:style w:type="character" w:customStyle="1" w:styleId="Heading5Char">
    <w:name w:val="Heading 5 Char"/>
    <w:basedOn w:val="DefaultParagraphFont"/>
    <w:link w:val="Heading5"/>
    <w:uiPriority w:val="9"/>
    <w:semiHidden/>
    <w:rsid w:val="000F2A9D"/>
    <w:rPr>
      <w:rFonts w:eastAsiaTheme="majorEastAsia" w:cstheme="majorBidi"/>
      <w:color w:val="0F4761" w:themeColor="accent1" w:themeShade="BF"/>
      <w:kern w:val="2"/>
    </w:rPr>
  </w:style>
  <w:style w:type="character" w:customStyle="1" w:styleId="Heading6Char">
    <w:name w:val="Heading 6 Char"/>
    <w:basedOn w:val="DefaultParagraphFont"/>
    <w:link w:val="Heading6"/>
    <w:uiPriority w:val="9"/>
    <w:semiHidden/>
    <w:rsid w:val="000F2A9D"/>
    <w:rPr>
      <w:rFonts w:eastAsiaTheme="majorEastAsia" w:cstheme="majorBidi"/>
      <w:i/>
      <w:iCs/>
      <w:color w:val="595959" w:themeColor="text1" w:themeTint="A6"/>
      <w:kern w:val="2"/>
    </w:rPr>
  </w:style>
  <w:style w:type="character" w:customStyle="1" w:styleId="Heading7Char">
    <w:name w:val="Heading 7 Char"/>
    <w:basedOn w:val="DefaultParagraphFont"/>
    <w:link w:val="Heading7"/>
    <w:uiPriority w:val="9"/>
    <w:semiHidden/>
    <w:rsid w:val="000F2A9D"/>
    <w:rPr>
      <w:rFonts w:eastAsiaTheme="majorEastAsia" w:cstheme="majorBidi"/>
      <w:color w:val="595959" w:themeColor="text1" w:themeTint="A6"/>
      <w:kern w:val="2"/>
    </w:rPr>
  </w:style>
  <w:style w:type="character" w:customStyle="1" w:styleId="Heading8Char">
    <w:name w:val="Heading 8 Char"/>
    <w:basedOn w:val="DefaultParagraphFont"/>
    <w:link w:val="Heading8"/>
    <w:uiPriority w:val="9"/>
    <w:semiHidden/>
    <w:rsid w:val="000F2A9D"/>
    <w:rPr>
      <w:rFonts w:eastAsiaTheme="majorEastAsia" w:cstheme="majorBidi"/>
      <w:i/>
      <w:iCs/>
      <w:color w:val="272727" w:themeColor="text1" w:themeTint="D8"/>
      <w:kern w:val="2"/>
    </w:rPr>
  </w:style>
  <w:style w:type="character" w:customStyle="1" w:styleId="Heading9Char">
    <w:name w:val="Heading 9 Char"/>
    <w:basedOn w:val="DefaultParagraphFont"/>
    <w:link w:val="Heading9"/>
    <w:uiPriority w:val="9"/>
    <w:semiHidden/>
    <w:rsid w:val="000F2A9D"/>
    <w:rPr>
      <w:rFonts w:eastAsiaTheme="majorEastAsia" w:cstheme="majorBidi"/>
      <w:color w:val="272727" w:themeColor="text1" w:themeTint="D8"/>
      <w:kern w:val="2"/>
    </w:rPr>
  </w:style>
  <w:style w:type="paragraph" w:styleId="ListParagraph">
    <w:name w:val="List Paragraph"/>
    <w:basedOn w:val="Normal"/>
    <w:uiPriority w:val="34"/>
    <w:qFormat/>
    <w:rsid w:val="000F2A9D"/>
    <w:pPr>
      <w:ind w:left="720"/>
      <w:contextualSpacing/>
    </w:pPr>
  </w:style>
  <w:style w:type="character" w:styleId="IntenseEmphasis">
    <w:name w:val="Intense Emphasis"/>
    <w:basedOn w:val="DefaultParagraphFont"/>
    <w:uiPriority w:val="21"/>
    <w:qFormat/>
    <w:rsid w:val="000F2A9D"/>
    <w:rPr>
      <w:i/>
      <w:iCs/>
      <w:color w:val="0F4761" w:themeColor="accent1" w:themeShade="BF"/>
    </w:rPr>
  </w:style>
  <w:style w:type="paragraph" w:styleId="IntenseQuote">
    <w:name w:val="Intense Quote"/>
    <w:basedOn w:val="Normal"/>
    <w:next w:val="Normal"/>
    <w:link w:val="IntenseQuoteChar"/>
    <w:uiPriority w:val="30"/>
    <w:qFormat/>
    <w:rsid w:val="000F2A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A9D"/>
    <w:rPr>
      <w:rFonts w:ascii="Times New Roman" w:hAnsi="Times New Roman"/>
      <w:i/>
      <w:iCs/>
      <w:color w:val="0F4761" w:themeColor="accent1" w:themeShade="BF"/>
      <w:kern w:val="2"/>
    </w:rPr>
  </w:style>
  <w:style w:type="character" w:styleId="IntenseReference">
    <w:name w:val="Intense Reference"/>
    <w:basedOn w:val="DefaultParagraphFont"/>
    <w:uiPriority w:val="32"/>
    <w:qFormat/>
    <w:rsid w:val="000F2A9D"/>
    <w:rPr>
      <w:b/>
      <w:bCs/>
      <w:smallCaps/>
      <w:color w:val="0F4761" w:themeColor="accent1" w:themeShade="BF"/>
      <w:spacing w:val="5"/>
    </w:rPr>
  </w:style>
  <w:style w:type="paragraph" w:styleId="NormalWeb">
    <w:name w:val="Normal (Web)"/>
    <w:basedOn w:val="Normal"/>
    <w:uiPriority w:val="99"/>
    <w:semiHidden/>
    <w:unhideWhenUsed/>
    <w:rsid w:val="006C4AC3"/>
    <w:pPr>
      <w:spacing w:before="100" w:beforeAutospacing="1" w:after="100" w:afterAutospacing="1"/>
    </w:pPr>
    <w:rPr>
      <w:rFonts w:eastAsia="Times New Roman" w:cs="Times New Roman"/>
      <w:kern w:val="0"/>
      <w:sz w:val="24"/>
      <w:szCs w:val="24"/>
      <w:lang w:eastAsia="pt-PT"/>
      <w14:ligatures w14:val="none"/>
    </w:rPr>
  </w:style>
  <w:style w:type="character" w:styleId="Emphasis">
    <w:name w:val="Emphasis"/>
    <w:basedOn w:val="DefaultParagraphFont"/>
    <w:uiPriority w:val="20"/>
    <w:qFormat/>
    <w:rsid w:val="006C4AC3"/>
    <w:rPr>
      <w:i/>
      <w:iCs/>
    </w:rPr>
  </w:style>
  <w:style w:type="character" w:customStyle="1" w:styleId="relative">
    <w:name w:val="relative"/>
    <w:basedOn w:val="DefaultParagraphFont"/>
    <w:rsid w:val="006C4AC3"/>
  </w:style>
  <w:style w:type="paragraph" w:customStyle="1" w:styleId="not-prose">
    <w:name w:val="not-prose"/>
    <w:basedOn w:val="Normal"/>
    <w:rsid w:val="006C4AC3"/>
    <w:pPr>
      <w:spacing w:before="100" w:beforeAutospacing="1" w:after="100" w:afterAutospacing="1"/>
    </w:pPr>
    <w:rPr>
      <w:rFonts w:eastAsia="Times New Roman" w:cs="Times New Roman"/>
      <w:kern w:val="0"/>
      <w:sz w:val="24"/>
      <w:szCs w:val="24"/>
      <w:lang w:eastAsia="pt-PT"/>
      <w14:ligatures w14:val="none"/>
    </w:rPr>
  </w:style>
  <w:style w:type="character" w:styleId="Strong">
    <w:name w:val="Strong"/>
    <w:basedOn w:val="DefaultParagraphFont"/>
    <w:uiPriority w:val="22"/>
    <w:qFormat/>
    <w:rsid w:val="006C4A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903</Words>
  <Characters>4879</Characters>
  <Application>Microsoft Office Word</Application>
  <DocSecurity>0</DocSecurity>
  <Lines>40</Lines>
  <Paragraphs>11</Paragraphs>
  <ScaleCrop>false</ScaleCrop>
  <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Oliveira</dc:creator>
  <cp:keywords/>
  <dc:description/>
  <cp:lastModifiedBy>Paulo Oliveira</cp:lastModifiedBy>
  <cp:revision>2</cp:revision>
  <dcterms:created xsi:type="dcterms:W3CDTF">2026-01-10T21:32:00Z</dcterms:created>
  <dcterms:modified xsi:type="dcterms:W3CDTF">2026-01-10T21:32:00Z</dcterms:modified>
</cp:coreProperties>
</file>