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8AC6" w14:textId="0827A5F2" w:rsidR="00AC5231" w:rsidRDefault="00876D51">
      <w:pPr>
        <w:rPr>
          <w:lang w:val="en-US"/>
        </w:rPr>
      </w:pPr>
      <w:r w:rsidRPr="00876D51">
        <w:rPr>
          <w:lang w:val="en-US"/>
        </w:rPr>
        <w:t>2023 Metrics and Strategies Used in Power Grid Resilience-MDPI</w:t>
      </w:r>
    </w:p>
    <w:p w14:paraId="7BE350A8" w14:textId="77777777" w:rsidR="00876D51" w:rsidRDefault="00876D51">
      <w:pPr>
        <w:rPr>
          <w:lang w:val="en-US"/>
        </w:rPr>
      </w:pPr>
    </w:p>
    <w:p w14:paraId="63B8CCC1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(2023)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Título: 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Metrics and Strategies Used in Power Grid Resilience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Autores: Cesar A. Vega Penagos; Jan L. Diaz; Omar F. Rodriguez-Martinez; Fabio Andrade; Adriana C. Luna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Fonte: 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Energies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vol. 17, n.º 1, artigo 168, MDPI (publicado em 28/12/2023) </w:t>
      </w:r>
    </w:p>
    <w:p w14:paraId="4393F715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2023 Metrics and Strategies Use…</w:t>
      </w:r>
    </w:p>
    <w:p w14:paraId="1E7ABAD8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Arquivo:</w:t>
      </w:r>
      <w:r w:rsidRPr="0038096B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2023 Metrics and Strategies Used in Power Grid Resilience-MDPI.pdf</w:t>
      </w:r>
    </w:p>
    <w:p w14:paraId="655EBE9E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30273A">
          <v:rect id="_x0000_i1025" style="width:0;height:1.5pt" o:hralign="center" o:hrstd="t" o:hr="t" fillcolor="#a0a0a0" stroked="f"/>
        </w:pict>
      </w:r>
    </w:p>
    <w:p w14:paraId="7EC39E8B" w14:textId="77777777" w:rsidR="0038096B" w:rsidRPr="0038096B" w:rsidRDefault="0038096B" w:rsidP="003809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1A630F5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uma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4FB10796" w14:textId="77777777" w:rsidR="0038096B" w:rsidRPr="0038096B" w:rsidRDefault="0038096B" w:rsidP="003809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de resiliência em sistemas elétricos;</w:t>
      </w:r>
    </w:p>
    <w:p w14:paraId="557CE480" w14:textId="77777777" w:rsidR="0038096B" w:rsidRPr="0038096B" w:rsidRDefault="0038096B" w:rsidP="003809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formal entre confiabilidade (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e resiliência (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356E8A1" w14:textId="77777777" w:rsidR="0038096B" w:rsidRPr="0038096B" w:rsidRDefault="0038096B" w:rsidP="003809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clássicas e avançadas de resiliência (triângulo e trapézio de resiliência);</w:t>
      </w:r>
    </w:p>
    <w:p w14:paraId="28273212" w14:textId="77777777" w:rsidR="0038096B" w:rsidRPr="0038096B" w:rsidRDefault="0038096B" w:rsidP="003809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top-down (operadores de rede, exemplo do DOE e LUMA – Porto Rico);</w:t>
      </w:r>
    </w:p>
    <w:p w14:paraId="02B89E41" w14:textId="77777777" w:rsidR="0038096B" w:rsidRPr="0038096B" w:rsidRDefault="0038096B" w:rsidP="003809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bottom-up (usuários, DERs, microgrids, ESS);</w:t>
      </w:r>
    </w:p>
    <w:p w14:paraId="7F9BE28D" w14:textId="77777777" w:rsidR="0038096B" w:rsidRPr="0038096B" w:rsidRDefault="0038096B" w:rsidP="0038096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de ameaças naturais, tecnológicas, humanas e cibernéticas.</w:t>
      </w:r>
    </w:p>
    <w:p w14:paraId="1A4F2B3F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resumo afirma que o objetivo é:</w:t>
      </w:r>
    </w:p>
    <w:p w14:paraId="6A3AC934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“explorar métricas e estratégias usadas nas redes elétricas para garantir e melhorar a resiliência em caso de eventos” </w:t>
      </w:r>
    </w:p>
    <w:p w14:paraId="6C45CE5E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2023 Metrics and Strategies Use…</w:t>
      </w:r>
    </w:p>
    <w:p w14:paraId="4D0ADD5D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DB244F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é:</w:t>
      </w:r>
    </w:p>
    <w:p w14:paraId="560CB746" w14:textId="77777777" w:rsidR="0038096B" w:rsidRPr="0038096B" w:rsidRDefault="0038096B" w:rsidP="003809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sistêmico,</w:t>
      </w:r>
    </w:p>
    <w:p w14:paraId="40DFEAB2" w14:textId="77777777" w:rsidR="0038096B" w:rsidRPr="0038096B" w:rsidRDefault="0038096B" w:rsidP="003809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conceitual e metodológico,</w:t>
      </w:r>
    </w:p>
    <w:p w14:paraId="693B8893" w14:textId="77777777" w:rsidR="0038096B" w:rsidRPr="0038096B" w:rsidRDefault="0038096B" w:rsidP="0038096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fortemente orientado à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operação, planejamento e políticas de resposta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F36E68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um artigo voltado a:</w:t>
      </w:r>
    </w:p>
    <w:p w14:paraId="34DF610D" w14:textId="77777777" w:rsidR="0038096B" w:rsidRPr="0038096B" w:rsidRDefault="0038096B" w:rsidP="003809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 como elemento físico;</w:t>
      </w:r>
    </w:p>
    <w:p w14:paraId="789AFE52" w14:textId="77777777" w:rsidR="0038096B" w:rsidRPr="0038096B" w:rsidRDefault="0038096B" w:rsidP="003809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 mecânica de torres;</w:t>
      </w:r>
    </w:p>
    <w:p w14:paraId="6D1B7E61" w14:textId="77777777" w:rsidR="0038096B" w:rsidRPr="0038096B" w:rsidRDefault="0038096B" w:rsidP="003809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estrutural;</w:t>
      </w:r>
    </w:p>
    <w:p w14:paraId="52CC5356" w14:textId="77777777" w:rsidR="0038096B" w:rsidRPr="0038096B" w:rsidRDefault="0038096B" w:rsidP="0038096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de dano físico por vento, gelo, downburst, incêndio etc.</w:t>
      </w:r>
    </w:p>
    <w:p w14:paraId="03A5ED14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A5DC8A4">
          <v:rect id="_x0000_i1026" style="width:0;height:1.5pt" o:hralign="center" o:hrstd="t" o:hr="t" fillcolor="#a0a0a0" stroked="f"/>
        </w:pict>
      </w:r>
    </w:p>
    <w:p w14:paraId="0F84BBC9" w14:textId="77777777" w:rsidR="0038096B" w:rsidRPr="0038096B" w:rsidRDefault="0038096B" w:rsidP="003809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7224C53D" w14:textId="77777777" w:rsidR="0038096B" w:rsidRPr="0038096B" w:rsidRDefault="0038096B" w:rsidP="003809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Separação formal entre confiabilidade e resiliência</w:t>
      </w:r>
    </w:p>
    <w:p w14:paraId="07AFB059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Secção 2.2 e na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2 (pág. 3)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define claramente: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5540"/>
      </w:tblGrid>
      <w:tr w:rsidR="0038096B" w:rsidRPr="0038096B" w14:paraId="3CFA7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CEB1E" w14:textId="77777777" w:rsidR="0038096B" w:rsidRPr="0038096B" w:rsidRDefault="0038096B" w:rsidP="003809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Confiabilidade</w:t>
            </w:r>
          </w:p>
        </w:tc>
        <w:tc>
          <w:tcPr>
            <w:tcW w:w="0" w:type="auto"/>
            <w:vAlign w:val="center"/>
            <w:hideMark/>
          </w:tcPr>
          <w:p w14:paraId="5CA4E538" w14:textId="77777777" w:rsidR="0038096B" w:rsidRPr="0038096B" w:rsidRDefault="0038096B" w:rsidP="003809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Resiliência</w:t>
            </w:r>
          </w:p>
        </w:tc>
      </w:tr>
      <w:tr w:rsidR="0038096B" w:rsidRPr="0038096B" w14:paraId="54D2A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2CA4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típicas, aleatórias</w:t>
            </w:r>
          </w:p>
        </w:tc>
        <w:tc>
          <w:tcPr>
            <w:tcW w:w="0" w:type="auto"/>
            <w:vAlign w:val="center"/>
            <w:hideMark/>
          </w:tcPr>
          <w:p w14:paraId="50367927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 (furacões, terremotos, gelo, incêndios)</w:t>
            </w:r>
          </w:p>
        </w:tc>
      </w:tr>
      <w:tr w:rsidR="0038096B" w:rsidRPr="0038096B" w14:paraId="5F476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0DCC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Alta frequência, baixo impacto</w:t>
            </w:r>
          </w:p>
        </w:tc>
        <w:tc>
          <w:tcPr>
            <w:tcW w:w="0" w:type="auto"/>
            <w:vAlign w:val="center"/>
            <w:hideMark/>
          </w:tcPr>
          <w:p w14:paraId="73AA1729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Baixa frequência, alto impacto</w:t>
            </w:r>
          </w:p>
        </w:tc>
      </w:tr>
      <w:tr w:rsidR="0038096B" w:rsidRPr="0038096B" w14:paraId="7BEC4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DAEF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rápida</w:t>
            </w:r>
          </w:p>
        </w:tc>
        <w:tc>
          <w:tcPr>
            <w:tcW w:w="0" w:type="auto"/>
            <w:vAlign w:val="center"/>
            <w:hideMark/>
          </w:tcPr>
          <w:p w14:paraId="7ED2E6C6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prolongada</w:t>
            </w:r>
          </w:p>
        </w:tc>
      </w:tr>
      <w:tr w:rsidR="0038096B" w:rsidRPr="0038096B" w14:paraId="489DB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27AA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Escala local</w:t>
            </w:r>
          </w:p>
        </w:tc>
        <w:tc>
          <w:tcPr>
            <w:tcW w:w="0" w:type="auto"/>
            <w:vAlign w:val="center"/>
            <w:hideMark/>
          </w:tcPr>
          <w:p w14:paraId="220F863E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Escala regional ou nacional</w:t>
            </w:r>
          </w:p>
        </w:tc>
      </w:tr>
    </w:tbl>
    <w:p w14:paraId="65AB18D9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conceitualmente idêntico ao que aparece em:</w:t>
      </w:r>
    </w:p>
    <w:p w14:paraId="6FE53145" w14:textId="77777777" w:rsidR="0038096B" w:rsidRPr="0038096B" w:rsidRDefault="0038096B" w:rsidP="003809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 &amp; Mancarella (2017),</w:t>
      </w:r>
    </w:p>
    <w:p w14:paraId="46A0083F" w14:textId="77777777" w:rsidR="0038096B" w:rsidRPr="0038096B" w:rsidRDefault="0038096B" w:rsidP="0038096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PES Task Force (2023),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reforçando a coerência científica do seu enquadramento teórico.</w:t>
      </w:r>
    </w:p>
    <w:p w14:paraId="04692D2F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E71D10">
          <v:rect id="_x0000_i1027" style="width:0;height:1.5pt" o:hralign="center" o:hrstd="t" o:hr="t" fillcolor="#a0a0a0" stroked="f"/>
        </w:pict>
      </w:r>
    </w:p>
    <w:p w14:paraId="51F724D0" w14:textId="77777777" w:rsidR="0038096B" w:rsidRPr="0038096B" w:rsidRDefault="0038096B" w:rsidP="003809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Triângulo de resiliência</w:t>
      </w:r>
    </w:p>
    <w:p w14:paraId="114C1702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Secção 2.4.2 e na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4 (pág. 5)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é apresentado o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 Triangle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 Tierney &amp; Bruneau (2007):</w:t>
      </w:r>
    </w:p>
    <w:p w14:paraId="2F1B5A3B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pr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-FA(t)]dt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7614D3E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7ADD2C1F" w14:textId="77777777" w:rsidR="0038096B" w:rsidRPr="0038096B" w:rsidRDefault="0038096B" w:rsidP="003809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FA(t)</m:t>
        </m:r>
      </m:oMath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funcionalidade real do sistema;</w:t>
      </w:r>
    </w:p>
    <w:p w14:paraId="11F290FC" w14:textId="77777777" w:rsidR="0038096B" w:rsidRPr="0038096B" w:rsidRDefault="0038096B" w:rsidP="003809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</m:oMath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funcionalidade nominal;</w:t>
      </w:r>
    </w:p>
    <w:p w14:paraId="21B0C06E" w14:textId="77777777" w:rsidR="0038096B" w:rsidRPr="0038096B" w:rsidRDefault="0038096B" w:rsidP="003809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</m:oMath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início do evento;</w:t>
      </w:r>
    </w:p>
    <w:p w14:paraId="14D30E3C" w14:textId="77777777" w:rsidR="0038096B" w:rsidRPr="0038096B" w:rsidRDefault="0038096B" w:rsidP="0038096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pr</m:t>
            </m:r>
          </m:sub>
        </m:sSub>
      </m:oMath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fim da recuperação.</w:t>
      </w:r>
    </w:p>
    <w:p w14:paraId="7FD5D834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reforça que:</w:t>
      </w:r>
    </w:p>
    <w:p w14:paraId="49D43CE0" w14:textId="77777777" w:rsidR="0038096B" w:rsidRPr="0038096B" w:rsidRDefault="0038096B" w:rsidP="003809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triângulo só avalia a fase de recuperação;</w:t>
      </w:r>
    </w:p>
    <w:p w14:paraId="6E302C1F" w14:textId="77777777" w:rsidR="0038096B" w:rsidRPr="0038096B" w:rsidRDefault="0038096B" w:rsidP="0038096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captura degradações prolongadas nem múltiplas fases.</w:t>
      </w:r>
    </w:p>
    <w:p w14:paraId="49199DCB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52AE59">
          <v:rect id="_x0000_i1028" style="width:0;height:1.5pt" o:hralign="center" o:hrstd="t" o:hr="t" fillcolor="#a0a0a0" stroked="f"/>
        </w:pict>
      </w:r>
    </w:p>
    <w:p w14:paraId="76C74A63" w14:textId="77777777" w:rsidR="0038096B" w:rsidRPr="0038096B" w:rsidRDefault="0038096B" w:rsidP="003809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Trapézio de resiliência (métricas FLEP)</w:t>
      </w:r>
    </w:p>
    <w:p w14:paraId="567DA968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Na Secção 2.4.3 e na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5 (pág. 6–7)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é descrito o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 Trapezoid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baseado em Panteli et al. (2017):</w:t>
      </w:r>
    </w:p>
    <w:p w14:paraId="2DD8D4EC" w14:textId="77777777" w:rsidR="0038096B" w:rsidRPr="0038096B" w:rsidRDefault="0038096B" w:rsidP="003809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 (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Fast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): quão rápido o sistema colapsa;</w:t>
      </w:r>
    </w:p>
    <w:p w14:paraId="726D28EA" w14:textId="77777777" w:rsidR="0038096B" w:rsidRPr="0038096B" w:rsidRDefault="0038096B" w:rsidP="003809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 (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Low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): quão profundo é o colapso;</w:t>
      </w:r>
    </w:p>
    <w:p w14:paraId="60C78846" w14:textId="77777777" w:rsidR="0038096B" w:rsidRPr="0038096B" w:rsidRDefault="0038096B" w:rsidP="003809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(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Extent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): duração da degradação;</w:t>
      </w:r>
    </w:p>
    <w:p w14:paraId="61C3DB97" w14:textId="77777777" w:rsidR="0038096B" w:rsidRPr="0038096B" w:rsidRDefault="0038096B" w:rsidP="0038096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 (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Prompt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): quão rápida é a recuperação.</w:t>
      </w:r>
    </w:p>
    <w:p w14:paraId="31CC1ADB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equações explícitas:</w:t>
      </w:r>
    </w:p>
    <w:p w14:paraId="7E2F05B8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IL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CFB4C97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área total:</w:t>
      </w:r>
    </w:p>
    <w:p w14:paraId="7FB63AA8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Are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pr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FA(t)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CF53E56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modelos matemáticos mais completos hoje para descrever resiliência temporal.</w:t>
      </w:r>
    </w:p>
    <w:p w14:paraId="37653419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F78DBC">
          <v:rect id="_x0000_i1029" style="width:0;height:1.5pt" o:hralign="center" o:hrstd="t" o:hr="t" fillcolor="#a0a0a0" stroked="f"/>
        </w:pict>
      </w:r>
    </w:p>
    <w:p w14:paraId="408C682B" w14:textId="77777777" w:rsidR="0038096B" w:rsidRPr="0038096B" w:rsidRDefault="0038096B" w:rsidP="003809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Reconhecimento explícito da diferença entre resiliência operacional e estrutural</w:t>
      </w:r>
    </w:p>
    <w:p w14:paraId="6584FF3A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discussão do trapézio, o artigo afirma que:</w:t>
      </w:r>
    </w:p>
    <w:p w14:paraId="3A404A75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sistema pode recuperar a operação antes da infraestrutura estar totalmente restaurada.</w:t>
      </w:r>
    </w:p>
    <w:p w14:paraId="4F75440B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estabelece a distinção:</w:t>
      </w:r>
    </w:p>
    <w:p w14:paraId="60C03628" w14:textId="77777777" w:rsidR="0038096B" w:rsidRPr="0038096B" w:rsidRDefault="0038096B" w:rsidP="0038096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≠ Resiliência física da infraestrutura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exatamente o eixo conceitual da sua tese.</w:t>
      </w:r>
    </w:p>
    <w:p w14:paraId="48EA8668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053373">
          <v:rect id="_x0000_i1030" style="width:0;height:1.5pt" o:hralign="center" o:hrstd="t" o:hr="t" fillcolor="#a0a0a0" stroked="f"/>
        </w:pict>
      </w:r>
    </w:p>
    <w:p w14:paraId="68331081" w14:textId="77777777" w:rsidR="0038096B" w:rsidRPr="0038096B" w:rsidRDefault="0038096B" w:rsidP="003809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Integração de estratégias top-down</w:t>
      </w:r>
    </w:p>
    <w:p w14:paraId="0A0D2512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Secção 3.1 e nas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4 e 5 (págs. 9–10)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descreve:</w:t>
      </w:r>
    </w:p>
    <w:p w14:paraId="3553CED9" w14:textId="77777777" w:rsidR="0038096B" w:rsidRPr="0038096B" w:rsidRDefault="0038096B" w:rsidP="003809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de classificação de eventos do DOE;</w:t>
      </w:r>
    </w:p>
    <w:p w14:paraId="6B333438" w14:textId="77777777" w:rsidR="0038096B" w:rsidRPr="0038096B" w:rsidRDefault="0038096B" w:rsidP="003809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sistema específico da LUMA (Porto Rico);</w:t>
      </w:r>
    </w:p>
    <w:p w14:paraId="26673CEF" w14:textId="77777777" w:rsidR="0038096B" w:rsidRPr="0038096B" w:rsidRDefault="0038096B" w:rsidP="0038096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níveis de ameaça, tempo típico de recuperação, número de clientes afetados.</w:t>
      </w:r>
    </w:p>
    <w:p w14:paraId="61996893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na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6 (pág. 10)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o ciclo completo:</w:t>
      </w:r>
    </w:p>
    <w:p w14:paraId="554DC1BE" w14:textId="77777777" w:rsidR="0038096B" w:rsidRPr="0038096B" w:rsidRDefault="0038096B" w:rsidP="003809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Disaster prevention</w:t>
      </w:r>
    </w:p>
    <w:p w14:paraId="230E76E8" w14:textId="77777777" w:rsidR="0038096B" w:rsidRPr="0038096B" w:rsidRDefault="0038096B" w:rsidP="003809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Disturbance progress</w:t>
      </w:r>
    </w:p>
    <w:p w14:paraId="7CF476CC" w14:textId="77777777" w:rsidR="0038096B" w:rsidRPr="0038096B" w:rsidRDefault="0038096B" w:rsidP="003809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Post-disturbance degraded state</w:t>
      </w:r>
    </w:p>
    <w:p w14:paraId="497E6C1E" w14:textId="77777777" w:rsidR="0038096B" w:rsidRPr="0038096B" w:rsidRDefault="0038096B" w:rsidP="003809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Restorative state</w:t>
      </w:r>
    </w:p>
    <w:p w14:paraId="1206860E" w14:textId="77777777" w:rsidR="0038096B" w:rsidRPr="0038096B" w:rsidRDefault="0038096B" w:rsidP="0038096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Post-restoration state</w:t>
      </w:r>
    </w:p>
    <w:p w14:paraId="1F5181AF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praticamente um modelo operacional de resiliência organizacional.</w:t>
      </w:r>
    </w:p>
    <w:p w14:paraId="14E8CBB4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938790">
          <v:rect id="_x0000_i1031" style="width:0;height:1.5pt" o:hralign="center" o:hrstd="t" o:hr="t" fillcolor="#a0a0a0" stroked="f"/>
        </w:pict>
      </w:r>
    </w:p>
    <w:p w14:paraId="41DB638D" w14:textId="77777777" w:rsidR="0038096B" w:rsidRPr="0038096B" w:rsidRDefault="0038096B" w:rsidP="0038096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Estratégias bottom-up</w:t>
      </w:r>
    </w:p>
    <w:p w14:paraId="1886E3AE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Secção 3.2 e na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8 (pág. 12)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classifica a resiliência dos usuários em níveis:</w:t>
      </w:r>
    </w:p>
    <w:p w14:paraId="09D93A52" w14:textId="77777777" w:rsidR="0038096B" w:rsidRPr="0038096B" w:rsidRDefault="0038096B" w:rsidP="003809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I: baterias e geradores;</w:t>
      </w:r>
    </w:p>
    <w:p w14:paraId="6D9F006D" w14:textId="77777777" w:rsidR="0038096B" w:rsidRPr="0038096B" w:rsidRDefault="0038096B" w:rsidP="003809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II: geração local (PV, vento);</w:t>
      </w:r>
    </w:p>
    <w:p w14:paraId="07E04EFC" w14:textId="77777777" w:rsidR="0038096B" w:rsidRPr="0038096B" w:rsidRDefault="0038096B" w:rsidP="003809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III: PV/vento + armazenamento;</w:t>
      </w:r>
    </w:p>
    <w:p w14:paraId="4342D6EA" w14:textId="77777777" w:rsidR="0038096B" w:rsidRPr="0038096B" w:rsidRDefault="0038096B" w:rsidP="0038096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IV: microgrids completas.</w:t>
      </w:r>
    </w:p>
    <w:p w14:paraId="763B9FC7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que a resiliência também é construída “de baixo para cima”.</w:t>
      </w:r>
    </w:p>
    <w:p w14:paraId="686D8E26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C46F69">
          <v:rect id="_x0000_i1032" style="width:0;height:1.5pt" o:hralign="center" o:hrstd="t" o:hr="t" fillcolor="#a0a0a0" stroked="f"/>
        </w:pict>
      </w:r>
    </w:p>
    <w:p w14:paraId="4DF3478F" w14:textId="77777777" w:rsidR="0038096B" w:rsidRPr="0038096B" w:rsidRDefault="0038096B" w:rsidP="003809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  <w:gridCol w:w="1942"/>
      </w:tblGrid>
      <w:tr w:rsidR="0038096B" w:rsidRPr="0038096B" w14:paraId="4A0B5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D072E" w14:textId="77777777" w:rsidR="0038096B" w:rsidRPr="0038096B" w:rsidRDefault="0038096B" w:rsidP="003809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da sua tese</w:t>
            </w:r>
          </w:p>
        </w:tc>
        <w:tc>
          <w:tcPr>
            <w:tcW w:w="0" w:type="auto"/>
            <w:vAlign w:val="center"/>
            <w:hideMark/>
          </w:tcPr>
          <w:p w14:paraId="53D91519" w14:textId="77777777" w:rsidR="0038096B" w:rsidRPr="0038096B" w:rsidRDefault="0038096B" w:rsidP="003809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 no artigo</w:t>
            </w:r>
          </w:p>
        </w:tc>
      </w:tr>
      <w:tr w:rsidR="0038096B" w:rsidRPr="0038096B" w14:paraId="11A42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DA1E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físicas</w:t>
            </w:r>
          </w:p>
        </w:tc>
        <w:tc>
          <w:tcPr>
            <w:tcW w:w="0" w:type="auto"/>
            <w:vAlign w:val="center"/>
            <w:hideMark/>
          </w:tcPr>
          <w:p w14:paraId="716D856A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8096B" w:rsidRPr="0038096B" w14:paraId="535F4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FA61B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 de torres</w:t>
            </w:r>
          </w:p>
        </w:tc>
        <w:tc>
          <w:tcPr>
            <w:tcW w:w="0" w:type="auto"/>
            <w:vAlign w:val="center"/>
            <w:hideMark/>
          </w:tcPr>
          <w:p w14:paraId="6D543AC3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8096B" w:rsidRPr="0038096B" w14:paraId="7E909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F3E7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estrutural</w:t>
            </w:r>
          </w:p>
        </w:tc>
        <w:tc>
          <w:tcPr>
            <w:tcW w:w="0" w:type="auto"/>
            <w:vAlign w:val="center"/>
            <w:hideMark/>
          </w:tcPr>
          <w:p w14:paraId="545290FA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8096B" w:rsidRPr="0038096B" w14:paraId="5A05D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0D201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físicas</w:t>
            </w:r>
          </w:p>
        </w:tc>
        <w:tc>
          <w:tcPr>
            <w:tcW w:w="0" w:type="auto"/>
            <w:vAlign w:val="center"/>
            <w:hideMark/>
          </w:tcPr>
          <w:p w14:paraId="139519A7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8096B" w:rsidRPr="0038096B" w14:paraId="276F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A8E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Hazards climáticos aplicados fisicamente</w:t>
            </w:r>
          </w:p>
        </w:tc>
        <w:tc>
          <w:tcPr>
            <w:tcW w:w="0" w:type="auto"/>
            <w:vAlign w:val="center"/>
            <w:hideMark/>
          </w:tcPr>
          <w:p w14:paraId="19C14B3A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8096B" w:rsidRPr="0038096B" w14:paraId="7567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7BC7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de resiliência</w:t>
            </w:r>
          </w:p>
        </w:tc>
        <w:tc>
          <w:tcPr>
            <w:tcW w:w="0" w:type="auto"/>
            <w:vAlign w:val="center"/>
            <w:hideMark/>
          </w:tcPr>
          <w:p w14:paraId="522F233C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8096B" w:rsidRPr="0038096B" w14:paraId="034A1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AD9A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temporais de resiliência</w:t>
            </w:r>
          </w:p>
        </w:tc>
        <w:tc>
          <w:tcPr>
            <w:tcW w:w="0" w:type="auto"/>
            <w:vAlign w:val="center"/>
            <w:hideMark/>
          </w:tcPr>
          <w:p w14:paraId="0AA8A838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8096B" w:rsidRPr="0038096B" w14:paraId="41625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424D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Distinção operacional × estrutural</w:t>
            </w:r>
          </w:p>
        </w:tc>
        <w:tc>
          <w:tcPr>
            <w:tcW w:w="0" w:type="auto"/>
            <w:vAlign w:val="center"/>
            <w:hideMark/>
          </w:tcPr>
          <w:p w14:paraId="68D152CC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3AD6F8E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 totalmente conceitual, organizacional e métrico, não físico-estrutural.</w:t>
      </w:r>
    </w:p>
    <w:p w14:paraId="5F9D7F4A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F2EFA8">
          <v:rect id="_x0000_i1033" style="width:0;height:1.5pt" o:hralign="center" o:hrstd="t" o:hr="t" fillcolor="#a0a0a0" stroked="f"/>
        </w:pict>
      </w:r>
    </w:p>
    <w:p w14:paraId="38291885" w14:textId="77777777" w:rsidR="0038096B" w:rsidRPr="0038096B" w:rsidRDefault="0038096B" w:rsidP="003809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B9E699B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1089"/>
      </w:tblGrid>
      <w:tr w:rsidR="0038096B" w:rsidRPr="0038096B" w14:paraId="54A2A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61722" w14:textId="77777777" w:rsidR="0038096B" w:rsidRPr="0038096B" w:rsidRDefault="0038096B" w:rsidP="003809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6F23331" w14:textId="77777777" w:rsidR="0038096B" w:rsidRPr="0038096B" w:rsidRDefault="0038096B" w:rsidP="0038096B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8096B" w:rsidRPr="0038096B" w14:paraId="63D0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CD4A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78294F32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8096B" w:rsidRPr="0038096B" w14:paraId="59B2A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C538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Curvas físicas de fragilidade</w:t>
            </w:r>
          </w:p>
        </w:tc>
        <w:tc>
          <w:tcPr>
            <w:tcW w:w="0" w:type="auto"/>
            <w:vAlign w:val="center"/>
            <w:hideMark/>
          </w:tcPr>
          <w:p w14:paraId="4BB0D39A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8096B" w:rsidRPr="0038096B" w14:paraId="7B7AF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5354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mecânicos</w:t>
            </w:r>
          </w:p>
        </w:tc>
        <w:tc>
          <w:tcPr>
            <w:tcW w:w="0" w:type="auto"/>
            <w:vAlign w:val="center"/>
            <w:hideMark/>
          </w:tcPr>
          <w:p w14:paraId="2CD17B7C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38096B" w:rsidRPr="0038096B" w14:paraId="0A80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B2FF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conceitual de resiliência</w:t>
            </w:r>
          </w:p>
        </w:tc>
        <w:tc>
          <w:tcPr>
            <w:tcW w:w="0" w:type="auto"/>
            <w:vAlign w:val="center"/>
            <w:hideMark/>
          </w:tcPr>
          <w:p w14:paraId="2DA0BD06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8096B" w:rsidRPr="0038096B" w14:paraId="69303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18F1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desempenho × tempo</w:t>
            </w:r>
          </w:p>
        </w:tc>
        <w:tc>
          <w:tcPr>
            <w:tcW w:w="0" w:type="auto"/>
            <w:vAlign w:val="center"/>
            <w:hideMark/>
          </w:tcPr>
          <w:p w14:paraId="26B0D6E1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8096B" w:rsidRPr="0038096B" w14:paraId="7758B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D282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Justificativa de novos índices</w:t>
            </w:r>
          </w:p>
        </w:tc>
        <w:tc>
          <w:tcPr>
            <w:tcW w:w="0" w:type="auto"/>
            <w:vAlign w:val="center"/>
            <w:hideMark/>
          </w:tcPr>
          <w:p w14:paraId="06B8B732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38096B" w:rsidRPr="0038096B" w14:paraId="41493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0EE3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Separação confiabilidade × resiliência</w:t>
            </w:r>
          </w:p>
        </w:tc>
        <w:tc>
          <w:tcPr>
            <w:tcW w:w="0" w:type="auto"/>
            <w:vAlign w:val="center"/>
            <w:hideMark/>
          </w:tcPr>
          <w:p w14:paraId="2F53EA1D" w14:textId="77777777" w:rsidR="0038096B" w:rsidRPr="0038096B" w:rsidRDefault="0038096B" w:rsidP="0038096B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8096B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30E6B2FD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direta: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8096B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conceitual/metodológica: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1D6D558D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E0B1B5">
          <v:rect id="_x0000_i1034" style="width:0;height:1.5pt" o:hralign="center" o:hrstd="t" o:hr="t" fillcolor="#a0a0a0" stroked="f"/>
        </w:pict>
      </w:r>
    </w:p>
    <w:p w14:paraId="0677BA33" w14:textId="77777777" w:rsidR="0038096B" w:rsidRPr="0038096B" w:rsidRDefault="0038096B" w:rsidP="003809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A2EDDF1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valioso para:</w:t>
      </w:r>
    </w:p>
    <w:p w14:paraId="33052EDC" w14:textId="77777777" w:rsidR="0038096B" w:rsidRPr="0038096B" w:rsidRDefault="0038096B" w:rsidP="003809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 o capítulo conceitual de resiliência;</w:t>
      </w:r>
    </w:p>
    <w:p w14:paraId="68E36C43" w14:textId="77777777" w:rsidR="0038096B" w:rsidRPr="0038096B" w:rsidRDefault="0038096B" w:rsidP="003809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do trapézio de resiliência;</w:t>
      </w:r>
    </w:p>
    <w:p w14:paraId="77BD24F9" w14:textId="77777777" w:rsidR="0038096B" w:rsidRPr="0038096B" w:rsidRDefault="0038096B" w:rsidP="003809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o seu índice de LT é uma especialização física de um conceito mais amplo;</w:t>
      </w:r>
    </w:p>
    <w:p w14:paraId="2E404E1B" w14:textId="77777777" w:rsidR="0038096B" w:rsidRPr="0038096B" w:rsidRDefault="0038096B" w:rsidP="0038096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separar formalmente:</w:t>
      </w:r>
    </w:p>
    <w:p w14:paraId="74014024" w14:textId="77777777" w:rsidR="0038096B" w:rsidRPr="0038096B" w:rsidRDefault="0038096B" w:rsidP="0038096B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≠ resiliência estrutural das linhas.</w:t>
      </w:r>
    </w:p>
    <w:p w14:paraId="6F069937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legitima cientificamente o </w:t>
      </w:r>
      <w:r w:rsidRPr="0038096B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porquê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 existir.</w:t>
      </w:r>
    </w:p>
    <w:p w14:paraId="6B30C1CC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0E5701">
          <v:rect id="_x0000_i1035" style="width:0;height:1.5pt" o:hralign="center" o:hrstd="t" o:hr="t" fillcolor="#a0a0a0" stroked="f"/>
        </w:pict>
      </w:r>
    </w:p>
    <w:p w14:paraId="4887A1D3" w14:textId="77777777" w:rsidR="0038096B" w:rsidRPr="0038096B" w:rsidRDefault="0038096B" w:rsidP="003809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657F917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COMO REFERÊNCIA CONCEITUAL E METODOLÓGICA CENTRAL</w:t>
      </w:r>
    </w:p>
    <w:p w14:paraId="47FBAE3D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físico, mas é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fundacional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enquadramento da sua tese.</w:t>
      </w:r>
    </w:p>
    <w:p w14:paraId="1D582D8F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2C8AB7">
          <v:rect id="_x0000_i1036" style="width:0;height:1.5pt" o:hralign="center" o:hrstd="t" o:hr="t" fillcolor="#a0a0a0" stroked="f"/>
        </w:pict>
      </w:r>
    </w:p>
    <w:p w14:paraId="5AD880CB" w14:textId="77777777" w:rsidR="0038096B" w:rsidRPr="0038096B" w:rsidRDefault="0038096B" w:rsidP="0038096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3ED1CE47" w14:textId="77777777" w:rsidR="0038096B" w:rsidRPr="0038096B" w:rsidRDefault="0038096B" w:rsidP="003809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1E34E2A" w14:textId="77777777" w:rsidR="0038096B" w:rsidRPr="0038096B" w:rsidRDefault="0038096B" w:rsidP="003809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Métricas, definições e estratégias de resiliência em sistemas elétricos</w:t>
      </w:r>
    </w:p>
    <w:p w14:paraId="583A68F7" w14:textId="77777777" w:rsidR="0038096B" w:rsidRPr="0038096B" w:rsidRDefault="0038096B" w:rsidP="003809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53D99F0D" w14:textId="77777777" w:rsidR="0038096B" w:rsidRPr="0038096B" w:rsidRDefault="0038096B" w:rsidP="003809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EB78EF6" w14:textId="77777777" w:rsidR="0038096B" w:rsidRPr="0038096B" w:rsidRDefault="0038096B" w:rsidP="0038096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42F45A05" w14:textId="77777777" w:rsidR="0038096B" w:rsidRPr="0038096B" w:rsidRDefault="0038096B" w:rsidP="0038096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32E45D0" w14:textId="77777777" w:rsidR="0038096B" w:rsidRPr="0038096B" w:rsidRDefault="0038096B" w:rsidP="0038096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 da escolha</w:t>
      </w:r>
    </w:p>
    <w:p w14:paraId="113907CB" w14:textId="77777777" w:rsidR="0038096B" w:rsidRPr="0038096B" w:rsidRDefault="0038096B" w:rsidP="0038096B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3ECB84F" w14:textId="77777777" w:rsidR="0038096B" w:rsidRPr="0038096B" w:rsidRDefault="0038096B" w:rsidP="0038096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8,0 / 10</w:t>
      </w:r>
    </w:p>
    <w:p w14:paraId="3B678611" w14:textId="77777777" w:rsidR="0038096B" w:rsidRPr="0038096B" w:rsidRDefault="0038096B" w:rsidP="0038096B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D28803">
          <v:rect id="_x0000_i1037" style="width:0;height:1.5pt" o:hralign="center" o:hrstd="t" o:hr="t" fillcolor="#a0a0a0" stroked="f"/>
        </w:pict>
      </w:r>
    </w:p>
    <w:p w14:paraId="0D8F0C13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43CEFCD5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ensina como uma torre colapsa.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ensina como a engenharia moderna entende, mede e organiza o conceito de </w:t>
      </w:r>
      <w:r w:rsidRPr="0038096B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6C65F9A" w14:textId="77777777" w:rsidR="0038096B" w:rsidRPr="0038096B" w:rsidRDefault="0038096B" w:rsidP="0038096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ele, a sua tese perde profundidade conceitual.</w:t>
      </w:r>
      <w:r w:rsidRPr="0038096B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Com ele, a sua tese fica cientificamente alinhada ao estado da arte internacional.</w:t>
      </w:r>
    </w:p>
    <w:p w14:paraId="67185BFA" w14:textId="77777777" w:rsidR="00876D51" w:rsidRPr="00876D51" w:rsidRDefault="00876D51">
      <w:pPr>
        <w:rPr>
          <w:lang w:val="en-US"/>
        </w:rPr>
      </w:pPr>
    </w:p>
    <w:sectPr w:rsidR="00876D51" w:rsidRPr="00876D5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527"/>
    <w:multiLevelType w:val="multilevel"/>
    <w:tmpl w:val="5FC2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5F0E"/>
    <w:multiLevelType w:val="multilevel"/>
    <w:tmpl w:val="B4D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67DA6"/>
    <w:multiLevelType w:val="multilevel"/>
    <w:tmpl w:val="1FAC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746EC"/>
    <w:multiLevelType w:val="multilevel"/>
    <w:tmpl w:val="191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92B82"/>
    <w:multiLevelType w:val="multilevel"/>
    <w:tmpl w:val="901C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C24F6"/>
    <w:multiLevelType w:val="multilevel"/>
    <w:tmpl w:val="5C6C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54FF4"/>
    <w:multiLevelType w:val="multilevel"/>
    <w:tmpl w:val="34D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643CA"/>
    <w:multiLevelType w:val="multilevel"/>
    <w:tmpl w:val="C3E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43932"/>
    <w:multiLevelType w:val="multilevel"/>
    <w:tmpl w:val="C19E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A0AE1"/>
    <w:multiLevelType w:val="multilevel"/>
    <w:tmpl w:val="0478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06FA3"/>
    <w:multiLevelType w:val="multilevel"/>
    <w:tmpl w:val="FC8A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70A1D"/>
    <w:multiLevelType w:val="multilevel"/>
    <w:tmpl w:val="79E8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D235F"/>
    <w:multiLevelType w:val="multilevel"/>
    <w:tmpl w:val="43A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834076">
    <w:abstractNumId w:val="3"/>
  </w:num>
  <w:num w:numId="2" w16cid:durableId="1093086759">
    <w:abstractNumId w:val="10"/>
  </w:num>
  <w:num w:numId="3" w16cid:durableId="2048875370">
    <w:abstractNumId w:val="7"/>
  </w:num>
  <w:num w:numId="4" w16cid:durableId="1359887628">
    <w:abstractNumId w:val="1"/>
  </w:num>
  <w:num w:numId="5" w16cid:durableId="1192114184">
    <w:abstractNumId w:val="9"/>
  </w:num>
  <w:num w:numId="6" w16cid:durableId="1753119816">
    <w:abstractNumId w:val="11"/>
  </w:num>
  <w:num w:numId="7" w16cid:durableId="672608120">
    <w:abstractNumId w:val="5"/>
  </w:num>
  <w:num w:numId="8" w16cid:durableId="886380602">
    <w:abstractNumId w:val="12"/>
  </w:num>
  <w:num w:numId="9" w16cid:durableId="720910753">
    <w:abstractNumId w:val="2"/>
  </w:num>
  <w:num w:numId="10" w16cid:durableId="1574585469">
    <w:abstractNumId w:val="0"/>
  </w:num>
  <w:num w:numId="11" w16cid:durableId="277030786">
    <w:abstractNumId w:val="6"/>
  </w:num>
  <w:num w:numId="12" w16cid:durableId="2030330534">
    <w:abstractNumId w:val="4"/>
  </w:num>
  <w:num w:numId="13" w16cid:durableId="16103575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5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096B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76D51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956E8"/>
  <w15:chartTrackingRefBased/>
  <w15:docId w15:val="{2D7105A2-326A-4549-BCAB-07CFBF15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5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5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5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5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5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76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5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76D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096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38096B"/>
    <w:rPr>
      <w:i/>
      <w:iCs/>
    </w:rPr>
  </w:style>
  <w:style w:type="character" w:customStyle="1" w:styleId="relative">
    <w:name w:val="relative"/>
    <w:basedOn w:val="DefaultParagraphFont"/>
    <w:rsid w:val="0038096B"/>
  </w:style>
  <w:style w:type="paragraph" w:customStyle="1" w:styleId="not-prose">
    <w:name w:val="not-prose"/>
    <w:basedOn w:val="Normal"/>
    <w:rsid w:val="0038096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809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972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2026-01-10T21:33:00Z</dcterms:created>
  <dcterms:modified xsi:type="dcterms:W3CDTF">2026-01-10T21:34:00Z</dcterms:modified>
</cp:coreProperties>
</file>