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F281" w14:textId="520F9517" w:rsidR="00AC5231" w:rsidRDefault="0081672E">
      <w:pPr>
        <w:rPr>
          <w:lang w:val="en-US"/>
        </w:rPr>
      </w:pPr>
      <w:r w:rsidRPr="0081672E">
        <w:rPr>
          <w:lang w:val="en-US"/>
        </w:rPr>
        <w:t>2023 Quantifying the Power System Resilience of the US Power Grid Through Weather and Power Outage Data -IEEE</w:t>
      </w:r>
    </w:p>
    <w:p w14:paraId="51B6C5C9" w14:textId="77777777" w:rsidR="0081672E" w:rsidRDefault="0081672E">
      <w:pPr>
        <w:rPr>
          <w:lang w:val="en-US"/>
        </w:rPr>
      </w:pPr>
    </w:p>
    <w:p w14:paraId="44C1F6D5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</w:t>
      </w:r>
      <w:proofErr w:type="gramStart"/>
      <w:r w:rsidRPr="0091327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2023) —</w:t>
      </w:r>
      <w:proofErr w:type="gramEnd"/>
      <w:r w:rsidRPr="0091327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IEEE Access</w:t>
      </w:r>
    </w:p>
    <w:p w14:paraId="60271342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Quantifying the Power System Resilience of the US Power Grid Through Weather and Power Outage Data</w:t>
      </w: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2023, doi: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10.1109/ACCESS.2023.3347129</w:t>
      </w: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61AA890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Quantifying the Power Syst…</w:t>
      </w:r>
    </w:p>
    <w:p w14:paraId="57C17121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ED610C">
          <v:rect id="_x0000_i1025" style="width:0;height:1.5pt" o:hralign="center" o:hrstd="t" o:hr="t" fillcolor="#a0a0a0" stroked="f"/>
        </w:pict>
      </w:r>
    </w:p>
    <w:p w14:paraId="331DF081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EA065D3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e valida um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automatizado de dados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resiliência do sistema elétrico (nível país/estado/county)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contra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meteorológicos extremos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 dois repositórios públicos:</w:t>
      </w:r>
    </w:p>
    <w:p w14:paraId="0A6F04C8" w14:textId="77777777" w:rsidR="00913271" w:rsidRPr="00913271" w:rsidRDefault="00913271" w:rsidP="0091327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NWS VTEC (IEM/ISU Mesonet)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alertas/avisos</w:t>
      </w:r>
      <w:proofErr w:type="gramStart"/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/“</w:t>
      </w:r>
      <w:proofErr w:type="gramEnd"/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phenomena codes”, geografia e ciclo temporal dos eventos </w:t>
      </w:r>
    </w:p>
    <w:p w14:paraId="601717D0" w14:textId="77777777" w:rsidR="00913271" w:rsidRPr="00913271" w:rsidRDefault="00913271" w:rsidP="0091327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Quantifying the Power Syst…</w:t>
      </w:r>
    </w:p>
    <w:p w14:paraId="70F97860" w14:textId="77777777" w:rsidR="00913271" w:rsidRPr="00913271" w:rsidRDefault="00913271" w:rsidP="0091327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ORNL EAGLE-I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número de clientes sem energia por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county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(FIPS), amostrado a cada 15 min, agregável por condado/estado </w:t>
      </w:r>
    </w:p>
    <w:p w14:paraId="2D8BF7B5" w14:textId="77777777" w:rsidR="00913271" w:rsidRPr="00913271" w:rsidRDefault="00913271" w:rsidP="0091327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Quantifying the Power Syst…</w:t>
      </w:r>
    </w:p>
    <w:p w14:paraId="6DAAA5E8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explícito é detectar eventos relevantes via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threshold configurável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mapear “weather ↔ outages” e gerar métricas comparáveis por região e tipo de evento (furacões, tempestades severas, inundações etc.).</w:t>
      </w:r>
    </w:p>
    <w:p w14:paraId="46AB963D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é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baseada em dados reais de interrupções + eventos climáticos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fragilidade física detalhada de linhas (torre/condutor/fundação).</w:t>
      </w:r>
    </w:p>
    <w:p w14:paraId="3FAF7DCC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B10033">
          <v:rect id="_x0000_i1026" style="width:0;height:1.5pt" o:hralign="center" o:hrstd="t" o:hr="t" fillcolor="#a0a0a0" stroked="f"/>
        </w:pict>
      </w:r>
    </w:p>
    <w:p w14:paraId="4A79DA91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para metodologia e contextualização)</w:t>
      </w:r>
    </w:p>
    <w:p w14:paraId="3FC2D640" w14:textId="77777777" w:rsidR="00913271" w:rsidRPr="00913271" w:rsidRDefault="00913271" w:rsidP="0091327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Pipeline automatizado (reutilizável) “clima → interrupção → resiliência”</w:t>
      </w:r>
    </w:p>
    <w:p w14:paraId="30A22C78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destacam que DOE/EIA capturam eventos “major” com critérios genéricos (p.ex., 50.000 clientes / 300 MW) e baixa resolução; já o método deles permite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granularidade ao nível de condado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capturando padrões que se perdem em agregação 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estadual.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contribuição central é uma arquitetura de processamento que inclui: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pré-processamento, tratamento de erros, agrupamento de eventos próximos no tempo, mapeamento EAGLE-I↔NWS, threshold de interrupção e cálculo das métricas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90BB8D" w14:textId="77777777" w:rsidR="00913271" w:rsidRPr="00913271" w:rsidRDefault="00913271" w:rsidP="0091327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formal e operacional de 3 métricas temporais (TOT, AUC, TAE)</w:t>
      </w:r>
    </w:p>
    <w:p w14:paraId="437806C2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métricas diretamente extraíveis da série temporal de “clientes afetados” (acima de um limiar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</w:t>
      </w:r>
    </w:p>
    <w:p w14:paraId="6EA827F3" w14:textId="77777777" w:rsidR="00913271" w:rsidRPr="00913271" w:rsidRDefault="00913271" w:rsidP="0091327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 (Time Over Threshold)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duração em que o número de clientes afetados fica acima do limiar (quanto menor, melhor).</w:t>
      </w:r>
    </w:p>
    <w:p w14:paraId="44118F8F" w14:textId="77777777" w:rsidR="00913271" w:rsidRPr="00913271" w:rsidRDefault="00913271" w:rsidP="0091327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AUC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</w:t>
      </w:r>
      <m:oMath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s</m:t>
                </m:r>
              </m:sub>
            </m:sSub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e</m:t>
                </m:r>
              </m:sub>
            </m:sSub>
          </m:sup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(f(t)-r)</m:t>
            </m:r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 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dt</m:t>
            </m:r>
          </m:e>
        </m:nary>
      </m:oMath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incorpora duração + severidade (clientes-minuto); e usa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AUC normalizado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(minutos por cliente) para comparar estados/condados.</w:t>
      </w:r>
    </w:p>
    <w:p w14:paraId="70BD4B92" w14:textId="77777777" w:rsidR="00913271" w:rsidRPr="00913271" w:rsidRDefault="00913271" w:rsidP="0091327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TAE (Time After Event)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g</m:t>
            </m:r>
          </m:sub>
        </m:sSub>
      </m:oMath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tempo de interrupção que persiste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 o fim do evento climático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interpretado como indício do “</w:t>
      </w:r>
      <w:proofErr w:type="gramStart"/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rebote”/</w:t>
      </w:r>
      <w:proofErr w:type="gramEnd"/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condição física do sistema e necessidades de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(quanto menor, melhor).</w:t>
      </w:r>
    </w:p>
    <w:p w14:paraId="29090C16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ainda interpretam o par TOT×AUC em quatro “quadrantes” (baixa/alta duração × baixo/alto impacto), o que é útil para classificação rápida de severidade e resiliência. </w:t>
      </w:r>
    </w:p>
    <w:p w14:paraId="5B217F22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Quantifying the Power Syst…</w:t>
      </w:r>
    </w:p>
    <w:p w14:paraId="2F171EB5" w14:textId="77777777" w:rsidR="00913271" w:rsidRPr="00913271" w:rsidRDefault="00913271" w:rsidP="0091327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Janela temporal padronizada e diagnóstico de “outage antes do evento”</w:t>
      </w:r>
    </w:p>
    <w:p w14:paraId="2501DA0D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cada “grupo de evento meteorológico” em um condado, as métricas são medidas numa janela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3 h antes até 48 h depois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pois interrupções podem persistir após o evento; e eles explicitam que aparecem interrupções “antes do evento” por incertezas/defasagens de coleta nos datasets.</w:t>
      </w:r>
    </w:p>
    <w:p w14:paraId="5316E576" w14:textId="77777777" w:rsidR="00913271" w:rsidRPr="00913271" w:rsidRDefault="00913271" w:rsidP="0091327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nacionais: forte evidência de heterogeneidade espacial e por tipo de evento</w:t>
      </w:r>
    </w:p>
    <w:p w14:paraId="306DB74F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Estados (exemplos):</w:t>
      </w:r>
    </w:p>
    <w:p w14:paraId="7C1E2A90" w14:textId="77777777" w:rsidR="00913271" w:rsidRPr="00913271" w:rsidRDefault="00913271" w:rsidP="009132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Califórnia aparece como mais impactado (seguido por West Virginia e Michigan).</w:t>
      </w:r>
    </w:p>
    <w:p w14:paraId="2C53C07D" w14:textId="77777777" w:rsidR="00913271" w:rsidRPr="00913271" w:rsidRDefault="00913271" w:rsidP="009132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AUC normalizado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North Carolina lidera, seguido por Virginia, Louisiana e Texas.</w:t>
      </w:r>
    </w:p>
    <w:p w14:paraId="240C3DB9" w14:textId="77777777" w:rsidR="00913271" w:rsidRPr="00913271" w:rsidRDefault="00913271" w:rsidP="009132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TAE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aparecem como mais impactados: Hawaii, Califórnia, Washington DC, Florida e Delaware.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Conclusão importante: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“um único ranking” que sirva para todas as métricas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A8B289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Condados (exemplos de TOT):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Okanogan County (WA) lidera com TOT médio muito alto, mesmo com poucos casos acima do limiar — sinalizando </w:t>
      </w:r>
      <w:proofErr w:type="gramStart"/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raros</w:t>
      </w:r>
      <w:proofErr w:type="gramEnd"/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porém extremamente prolongados. </w:t>
      </w:r>
    </w:p>
    <w:p w14:paraId="56D5DA74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2023 Quantifying the Power Syst…</w:t>
      </w:r>
    </w:p>
    <w:p w14:paraId="652A862E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Tipos de evento (impacto médio em TOT):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“Extreme wind (EW)” é o mais impactante, seguido por “tropical storm (TR)”, “storm (SR)”, “ice storm (IS)” etc., enquanto “severe thunderstorms (SV)” são os mais frequentes, mas com TOT médio menor.</w:t>
      </w:r>
    </w:p>
    <w:p w14:paraId="2B6A7E16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615B27">
          <v:rect id="_x0000_i1027" style="width:0;height:1.5pt" o:hralign="center" o:hrstd="t" o:hr="t" fillcolor="#a0a0a0" stroked="f"/>
        </w:pict>
      </w:r>
    </w:p>
    <w:p w14:paraId="2F73D0A2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0917AB00" w14:textId="77777777" w:rsidR="00913271" w:rsidRPr="00913271" w:rsidRDefault="00913271" w:rsidP="0091327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inferida por “clientes afetados”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sem identificar quais ativos falharam (LT vs distribuição vs subestação). Logo, é excelente para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 resilience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vulnerabilidade regional, mas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isola a contribuição específica das Linhas de Transmissão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07D1CD" w14:textId="77777777" w:rsidR="00913271" w:rsidRPr="00913271" w:rsidRDefault="00913271" w:rsidP="0091327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Magnitude do evento não é incorporada adequadamente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(os autores reconhecem explicitamente e colocam como trabalho futuro: normalizar magnitude, incorporar variáveis meteorológicas e categorias de furacão). Isso afeta comparações entre regiões/tipos de evento.</w:t>
      </w:r>
    </w:p>
    <w:p w14:paraId="03088529" w14:textId="77777777" w:rsidR="00913271" w:rsidRPr="00913271" w:rsidRDefault="00913271" w:rsidP="0091327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TAE/TOT podem refletir defasagens de coleta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além de recuperação real (os autores discutem delays do NWS e do EAGLE-I). Isso exige cautela ao interpretar “recuperação” puramente como desempenho físico.</w:t>
      </w:r>
    </w:p>
    <w:p w14:paraId="78E927B8" w14:textId="77777777" w:rsidR="00913271" w:rsidRPr="00913271" w:rsidRDefault="00913271" w:rsidP="0091327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curva de fragilidade física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(probabilística) para torres/condutores/fundações, nem modelação de mecanismos (vento/gelo/incêndio → falha estrutural). Para sua tese, isso fica no nível “macro/observacional”.</w:t>
      </w:r>
    </w:p>
    <w:p w14:paraId="23A5B608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F2AA9B">
          <v:rect id="_x0000_i1028" style="width:0;height:1.5pt" o:hralign="center" o:hrstd="t" o:hr="t" fillcolor="#a0a0a0" stroked="f"/>
        </w:pict>
      </w:r>
    </w:p>
    <w:p w14:paraId="274528F3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p w14:paraId="2340B62A" w14:textId="77777777" w:rsidR="00913271" w:rsidRPr="00913271" w:rsidRDefault="00913271" w:rsidP="0091327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 climático extremo: </w:t>
      </w:r>
      <w:r w:rsidRPr="0091327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(NWS VTEC + análise por tipo de evento)</w:t>
      </w:r>
    </w:p>
    <w:p w14:paraId="04993277" w14:textId="77777777" w:rsidR="00913271" w:rsidRPr="00913271" w:rsidRDefault="00913271" w:rsidP="0091327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temporal (duração/impacto/recuperação): </w:t>
      </w:r>
      <w:r w:rsidRPr="0091327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forte (TOT, AUC, TAE)</w:t>
      </w:r>
    </w:p>
    <w:p w14:paraId="0431C478" w14:textId="77777777" w:rsidR="00913271" w:rsidRPr="00913271" w:rsidRDefault="00913271" w:rsidP="0091327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(ativo físico): </w:t>
      </w:r>
      <w:r w:rsidRPr="0091327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indireto (efeito agregado em clientes; pode envolver T&amp;D, mas não separa)</w:t>
      </w:r>
    </w:p>
    <w:p w14:paraId="044ADCC8" w14:textId="77777777" w:rsidR="00913271" w:rsidRPr="00913271" w:rsidRDefault="00913271" w:rsidP="0091327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estrutural específica de LT: </w:t>
      </w:r>
      <w:r w:rsidRPr="0091327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</w:t>
      </w:r>
    </w:p>
    <w:p w14:paraId="47048613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a “LT como ativo físico”: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1327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para contextualização + metodologia temporal de resiliência baseada em dados: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13986132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87C211">
          <v:rect id="_x0000_i1029" style="width:0;height:1.5pt" o:hralign="center" o:hrstd="t" o:hr="t" fillcolor="#a0a0a0" stroked="f"/>
        </w:pict>
      </w:r>
    </w:p>
    <w:p w14:paraId="57D569EB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14D4366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valioso para você em 3 frentes:</w:t>
      </w:r>
    </w:p>
    <w:p w14:paraId="7C1F7086" w14:textId="77777777" w:rsidR="00913271" w:rsidRPr="00913271" w:rsidRDefault="00913271" w:rsidP="0091327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Revisão da literatura / contextualização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mostra, com dados públicos, que a resiliência varia fortemente por geografia e por tipo de evento e que agregação estadual mascara hotspots.</w:t>
      </w:r>
    </w:p>
    <w:p w14:paraId="5D2CC807" w14:textId="77777777" w:rsidR="00913271" w:rsidRPr="00913271" w:rsidRDefault="00913271" w:rsidP="0091327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serve como base para a parte “observacional” do seu trabalho (resiliência medida no tempo), inspirando métricas e janelas temporais, caso você use dados de interrupção/ONS/relatórios ou dados regionais.</w:t>
      </w:r>
    </w:p>
    <w:p w14:paraId="1A029E6B" w14:textId="77777777" w:rsidR="00913271" w:rsidRPr="00913271" w:rsidRDefault="00913271" w:rsidP="0091327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encontrada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ajuda a justificar por que seu índice precisa “descer para o ativo LT” (fragilidade física + tempo de reparo + logística) em vez de ficar apenas em métricas agregadas por clientes.</w:t>
      </w:r>
    </w:p>
    <w:p w14:paraId="71843B98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2CE422">
          <v:rect id="_x0000_i1030" style="width:0;height:1.5pt" o:hralign="center" o:hrstd="t" o:hr="t" fillcolor="#a0a0a0" stroked="f"/>
        </w:pict>
      </w:r>
    </w:p>
    <w:p w14:paraId="78EF366B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C079EFC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B6AE39E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dos trabalhos mais úteis para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quantificação de resiliência temporal baseada em dados reais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para defender a necessidade de granularidade (county-level) e análise por tipo de evento. Mesmo não isolando LT, ele fortalece sua tese em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metodologia, contextualização e fundamentação de lacunas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AAF578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38E402">
          <v:rect id="_x0000_i1031" style="width:0;height:1.5pt" o:hralign="center" o:hrstd="t" o:hr="t" fillcolor="#a0a0a0" stroked="f"/>
        </w:pict>
      </w:r>
    </w:p>
    <w:p w14:paraId="2F97EAF7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21DCEA2" w14:textId="77777777" w:rsidR="00913271" w:rsidRPr="00913271" w:rsidRDefault="00913271" w:rsidP="0091327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C8D12EF" w14:textId="77777777" w:rsidR="00913271" w:rsidRPr="00913271" w:rsidRDefault="00913271" w:rsidP="0091327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Quantificação de resiliência do sistema elétrico dos EUA com mapeamento NWS↔EAGLE-I e métricas temporais (TOT, AUC, TAE)</w:t>
      </w:r>
    </w:p>
    <w:p w14:paraId="4B1C6537" w14:textId="77777777" w:rsidR="00913271" w:rsidRPr="00913271" w:rsidRDefault="00913271" w:rsidP="0091327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B63DBB4" w14:textId="77777777" w:rsidR="00913271" w:rsidRPr="00913271" w:rsidRDefault="00913271" w:rsidP="0091327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contextualização; revisão da literatura; metodologia adotada; lacuna encontrada</w:t>
      </w:r>
    </w:p>
    <w:p w14:paraId="60F0515E" w14:textId="77777777" w:rsidR="00913271" w:rsidRPr="00913271" w:rsidRDefault="00913271" w:rsidP="0091327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327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7E6E8033" w14:textId="77777777" w:rsidR="00913271" w:rsidRPr="00913271" w:rsidRDefault="00913271" w:rsidP="0091327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902400">
          <v:rect id="_x0000_i1032" style="width:0;height:1.5pt" o:hralign="center" o:hrstd="t" o:hr="t" fillcolor="#a0a0a0" stroked="f"/>
        </w:pict>
      </w:r>
    </w:p>
    <w:p w14:paraId="70392ACC" w14:textId="77777777" w:rsidR="00913271" w:rsidRPr="00913271" w:rsidRDefault="00913271" w:rsidP="0091327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1327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5C2BC121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S. M. Lee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</w:t>
      </w: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., “Quantifying the Power System Resilience of the US Power Grid Through Weather and Power Outage Data,” </w:t>
      </w:r>
      <w:r w:rsidRPr="0091327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91327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2023, doi: 10.1109/ACCESS.2023.3347129. </w:t>
      </w:r>
    </w:p>
    <w:p w14:paraId="159CF3EB" w14:textId="77777777" w:rsidR="00913271" w:rsidRPr="00913271" w:rsidRDefault="00913271" w:rsidP="0091327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327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Quantifying the Power Syst…</w:t>
      </w:r>
    </w:p>
    <w:p w14:paraId="6E57A569" w14:textId="77777777" w:rsidR="0081672E" w:rsidRPr="0081672E" w:rsidRDefault="0081672E">
      <w:pPr>
        <w:rPr>
          <w:lang w:val="en-US"/>
        </w:rPr>
      </w:pPr>
    </w:p>
    <w:sectPr w:rsidR="0081672E" w:rsidRPr="0081672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5E8"/>
    <w:multiLevelType w:val="multilevel"/>
    <w:tmpl w:val="870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C161C"/>
    <w:multiLevelType w:val="multilevel"/>
    <w:tmpl w:val="C45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B1D08"/>
    <w:multiLevelType w:val="multilevel"/>
    <w:tmpl w:val="E51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30BBA"/>
    <w:multiLevelType w:val="multilevel"/>
    <w:tmpl w:val="1600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13739"/>
    <w:multiLevelType w:val="multilevel"/>
    <w:tmpl w:val="6D2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6412C"/>
    <w:multiLevelType w:val="multilevel"/>
    <w:tmpl w:val="0E1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027D7"/>
    <w:multiLevelType w:val="multilevel"/>
    <w:tmpl w:val="564C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983981">
    <w:abstractNumId w:val="2"/>
  </w:num>
  <w:num w:numId="2" w16cid:durableId="158471651">
    <w:abstractNumId w:val="4"/>
  </w:num>
  <w:num w:numId="3" w16cid:durableId="322592063">
    <w:abstractNumId w:val="0"/>
  </w:num>
  <w:num w:numId="4" w16cid:durableId="405300592">
    <w:abstractNumId w:val="6"/>
  </w:num>
  <w:num w:numId="5" w16cid:durableId="1163467074">
    <w:abstractNumId w:val="5"/>
  </w:num>
  <w:num w:numId="6" w16cid:durableId="48040300">
    <w:abstractNumId w:val="3"/>
  </w:num>
  <w:num w:numId="7" w16cid:durableId="10685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2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1672E"/>
    <w:rsid w:val="008226B2"/>
    <w:rsid w:val="008C0D5E"/>
    <w:rsid w:val="00913271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A6F6A"/>
  <w15:chartTrackingRefBased/>
  <w15:docId w15:val="{AC6A44EB-7B31-4F38-81FF-7CBAA17E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2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2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2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2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2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1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2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167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32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327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913271"/>
    <w:rPr>
      <w:i/>
      <w:iCs/>
    </w:rPr>
  </w:style>
  <w:style w:type="character" w:customStyle="1" w:styleId="relative">
    <w:name w:val="relative"/>
    <w:basedOn w:val="DefaultParagraphFont"/>
    <w:rsid w:val="00913271"/>
  </w:style>
  <w:style w:type="paragraph" w:customStyle="1" w:styleId="not-prose">
    <w:name w:val="not-prose"/>
    <w:basedOn w:val="Normal"/>
    <w:rsid w:val="0091327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1128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2026-01-10T22:33:00Z</dcterms:created>
  <dcterms:modified xsi:type="dcterms:W3CDTF">2026-01-10T22:33:00Z</dcterms:modified>
</cp:coreProperties>
</file>