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25B71" w14:textId="4D6D0C5E" w:rsidR="00AC5231" w:rsidRDefault="00AE6A55">
      <w:pPr>
        <w:rPr>
          <w:lang w:val="en-US"/>
        </w:rPr>
      </w:pPr>
      <w:r w:rsidRPr="00AE6A55">
        <w:rPr>
          <w:lang w:val="en-US"/>
        </w:rPr>
        <w:t>2024 Assessment Approaches of Climate Factors Influence for Design of Overhead Transmission Lines-IEEE</w:t>
      </w:r>
    </w:p>
    <w:p w14:paraId="4B809FCB" w14:textId="77777777" w:rsidR="00AE6A55" w:rsidRDefault="00AE6A55">
      <w:pPr>
        <w:rPr>
          <w:lang w:val="en-US"/>
        </w:rPr>
      </w:pPr>
    </w:p>
    <w:p w14:paraId="009C79EB" w14:textId="77777777" w:rsidR="004858EC" w:rsidRPr="004858EC" w:rsidRDefault="004858EC" w:rsidP="004858E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4858EC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</w:p>
    <w:p w14:paraId="0DFDDA01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4858E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4858E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4858E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4858E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Assessment Approaches of Climate Factors Influence for Design of Overhead Transmission Lines</w:t>
      </w:r>
      <w:r w:rsidRPr="004858E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4858E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4858E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4858E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Oleg A. Loktionov; Nikolay S. Kuznetsov; Mikhail A. Zabelin; Daniil O. Maksimov</w:t>
      </w:r>
      <w:r w:rsidRPr="004858E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4858E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4858E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IEEE – 6th International Youth Conference on Radio Electronics, Electrical and Power Engineering (REEPE)</w:t>
      </w:r>
      <w:r w:rsidRPr="004858E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4858E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4858E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2024</w:t>
      </w:r>
      <w:r w:rsidRPr="004858E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5EA12397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Approaches</w:t>
      </w:r>
      <w:proofErr w:type="spellEnd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C…</w:t>
      </w:r>
    </w:p>
    <w:p w14:paraId="66DF4B48" w14:textId="77777777" w:rsidR="004858EC" w:rsidRPr="004858EC" w:rsidRDefault="004858EC" w:rsidP="004858E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9A1EE3C">
          <v:rect id="_x0000_i1025" style="width:0;height:1.5pt" o:hralign="center" o:hrstd="t" o:hr="t" fillcolor="#a0a0a0" stroked="f"/>
        </w:pict>
      </w:r>
    </w:p>
    <w:p w14:paraId="1F57EF36" w14:textId="77777777" w:rsidR="004858EC" w:rsidRPr="004858EC" w:rsidRDefault="004858EC" w:rsidP="004858E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858E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0B80AD3B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trabalho analisa, de forma comparativa, os </w:t>
      </w:r>
      <w:r w:rsidRPr="004858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requisitos normativos para o projeto de linhas aéreas de transmissão (LT)</w:t>
      </w: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influência de fatores climáticos, confrontando:</w:t>
      </w:r>
    </w:p>
    <w:p w14:paraId="62827644" w14:textId="77777777" w:rsidR="004858EC" w:rsidRPr="004858EC" w:rsidRDefault="004858EC" w:rsidP="004858E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normas russas (PUE-7, SP 20.13330, SP 131.13330),</w:t>
      </w:r>
    </w:p>
    <w:p w14:paraId="41FFF3A2" w14:textId="77777777" w:rsidR="004858EC" w:rsidRPr="004858EC" w:rsidRDefault="004858EC" w:rsidP="004858E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normas internacionais (IEC 60826, IEC 61774),</w:t>
      </w:r>
    </w:p>
    <w:p w14:paraId="13325B08" w14:textId="77777777" w:rsidR="004858EC" w:rsidRPr="004858EC" w:rsidRDefault="004858EC" w:rsidP="004858E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normas europeias (EN 50341),</w:t>
      </w:r>
    </w:p>
    <w:p w14:paraId="0DDAF8D5" w14:textId="77777777" w:rsidR="004858EC" w:rsidRPr="004858EC" w:rsidRDefault="004858EC" w:rsidP="004858E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normas norte-americanas (NESC C2, ASCE 7, ASCE 74).</w:t>
      </w:r>
    </w:p>
    <w:p w14:paraId="2488BC54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objetivo é avaliar como vento, gelo/neve, temperatura, descargas atmosféricas e outros fatores climáticos são incorporados no </w:t>
      </w:r>
      <w:r w:rsidRPr="004858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dimensionamento estrutural e na confiabilidade</w:t>
      </w: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LT.</w:t>
      </w: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2CAD97CB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Approaches</w:t>
      </w:r>
      <w:proofErr w:type="spellEnd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C…</w:t>
      </w:r>
    </w:p>
    <w:p w14:paraId="1AA4FFD8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4858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normativo-estrutural</w:t>
      </w: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diretamente ligado à forma como a resiliência física das LT é tratada no projeto.</w:t>
      </w:r>
    </w:p>
    <w:p w14:paraId="46F7C4AE" w14:textId="77777777" w:rsidR="004858EC" w:rsidRPr="004858EC" w:rsidRDefault="004858EC" w:rsidP="004858E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43D3FEC">
          <v:rect id="_x0000_i1026" style="width:0;height:1.5pt" o:hralign="center" o:hrstd="t" o:hr="t" fillcolor="#a0a0a0" stroked="f"/>
        </w:pict>
      </w:r>
    </w:p>
    <w:p w14:paraId="2A411E6E" w14:textId="77777777" w:rsidR="004858EC" w:rsidRPr="004858EC" w:rsidRDefault="004858EC" w:rsidP="004858E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858E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principais</w:t>
      </w:r>
    </w:p>
    <w:p w14:paraId="1F3925EC" w14:textId="77777777" w:rsidR="004858EC" w:rsidRPr="004858EC" w:rsidRDefault="004858EC" w:rsidP="004858E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858E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Demonstração quantitativa da relevância do clima</w:t>
      </w:r>
    </w:p>
    <w:p w14:paraId="6E709EE8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página 1, Fig. 1, o artigo mostra que os fatores climáticos respondem por:</w:t>
      </w:r>
    </w:p>
    <w:p w14:paraId="718D11C1" w14:textId="77777777" w:rsidR="004858EC" w:rsidRPr="004858EC" w:rsidRDefault="004858EC" w:rsidP="004858E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39% (Rússia),</w:t>
      </w:r>
    </w:p>
    <w:p w14:paraId="4BEF1379" w14:textId="77777777" w:rsidR="004858EC" w:rsidRPr="004858EC" w:rsidRDefault="004858EC" w:rsidP="004858E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53% (China),</w:t>
      </w:r>
    </w:p>
    <w:p w14:paraId="2DCAD443" w14:textId="77777777" w:rsidR="004858EC" w:rsidRPr="004858EC" w:rsidRDefault="004858EC" w:rsidP="004858E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43% (EUA),</w:t>
      </w:r>
    </w:p>
    <w:p w14:paraId="593DD6DF" w14:textId="77777777" w:rsidR="004858EC" w:rsidRPr="004858EC" w:rsidRDefault="004858EC" w:rsidP="004858E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55% (Canadá)</w:t>
      </w:r>
    </w:p>
    <w:p w14:paraId="3468FC42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das falhas tecnológicas em redes elétricas.</w:t>
      </w: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3AA24240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Approaches</w:t>
      </w:r>
      <w:proofErr w:type="spellEnd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C…</w:t>
      </w:r>
    </w:p>
    <w:p w14:paraId="7DD455A8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fornece uma base estatística fortíssima para justificar a centralidade do clima na resiliência das LT.</w:t>
      </w:r>
    </w:p>
    <w:p w14:paraId="55E70803" w14:textId="77777777" w:rsidR="004858EC" w:rsidRPr="004858EC" w:rsidRDefault="004858EC" w:rsidP="004858E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CCA2F8D">
          <v:rect id="_x0000_i1027" style="width:0;height:1.5pt" o:hralign="center" o:hrstd="t" o:hr="t" fillcolor="#a0a0a0" stroked="f"/>
        </w:pict>
      </w:r>
    </w:p>
    <w:p w14:paraId="1B2B5035" w14:textId="77777777" w:rsidR="004858EC" w:rsidRPr="004858EC" w:rsidRDefault="004858EC" w:rsidP="004858E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858E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Identificação explícita dos fatores climáticos críticos</w:t>
      </w:r>
    </w:p>
    <w:p w14:paraId="67B0B10E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lista como dominantes:</w:t>
      </w:r>
    </w:p>
    <w:p w14:paraId="008561F2" w14:textId="77777777" w:rsidR="004858EC" w:rsidRPr="004858EC" w:rsidRDefault="004858EC" w:rsidP="004858E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cargas de vento,</w:t>
      </w:r>
    </w:p>
    <w:p w14:paraId="180B3E0F" w14:textId="77777777" w:rsidR="004858EC" w:rsidRPr="004858EC" w:rsidRDefault="004858EC" w:rsidP="004858E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cargas de gelo e neve,</w:t>
      </w:r>
    </w:p>
    <w:p w14:paraId="02588152" w14:textId="77777777" w:rsidR="004858EC" w:rsidRPr="004858EC" w:rsidRDefault="004858EC" w:rsidP="004858E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combinação vento + gelo,</w:t>
      </w:r>
    </w:p>
    <w:p w14:paraId="1865EACA" w14:textId="77777777" w:rsidR="004858EC" w:rsidRPr="004858EC" w:rsidRDefault="004858EC" w:rsidP="004858E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temperatura extrema,</w:t>
      </w:r>
    </w:p>
    <w:p w14:paraId="18ED07DD" w14:textId="77777777" w:rsidR="004858EC" w:rsidRPr="004858EC" w:rsidRDefault="004858EC" w:rsidP="004858E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atividade de tempestades.</w:t>
      </w:r>
    </w:p>
    <w:p w14:paraId="58536C28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(pág. 3) </w:t>
      </w:r>
    </w:p>
    <w:p w14:paraId="13692BF0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Approaches</w:t>
      </w:r>
      <w:proofErr w:type="spellEnd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C…</w:t>
      </w:r>
    </w:p>
    <w:p w14:paraId="44C75979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Esses fatores são exatamente os mecanismos físicos que levam a:</w:t>
      </w:r>
    </w:p>
    <w:p w14:paraId="2EC05525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flambagem</w:t>
      </w:r>
      <w:proofErr w:type="spellEnd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ruptura</w:t>
      </w:r>
      <w:proofErr w:type="spellEnd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condutores, colapso de torres e falhas em cascata.</w:t>
      </w:r>
    </w:p>
    <w:p w14:paraId="238F2C48" w14:textId="77777777" w:rsidR="004858EC" w:rsidRPr="004858EC" w:rsidRDefault="004858EC" w:rsidP="004858E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38F26F1">
          <v:rect id="_x0000_i1028" style="width:0;height:1.5pt" o:hralign="center" o:hrstd="t" o:hr="t" fillcolor="#a0a0a0" stroked="f"/>
        </w:pict>
      </w:r>
    </w:p>
    <w:p w14:paraId="46A296B4" w14:textId="77777777" w:rsidR="004858EC" w:rsidRPr="004858EC" w:rsidRDefault="004858EC" w:rsidP="004858E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858E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Comparação direta das equações normativas</w:t>
      </w:r>
    </w:p>
    <w:p w14:paraId="667C5B58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Tabelas I e II (páginas 3 e 4) comparam as equações usadas para:</w:t>
      </w:r>
    </w:p>
    <w:p w14:paraId="4BC924A5" w14:textId="77777777" w:rsidR="004858EC" w:rsidRPr="004858EC" w:rsidRDefault="004858EC" w:rsidP="004858E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cargas de gelo/neve,</w:t>
      </w:r>
    </w:p>
    <w:p w14:paraId="7E8FBA6F" w14:textId="77777777" w:rsidR="004858EC" w:rsidRPr="004858EC" w:rsidRDefault="004858EC" w:rsidP="004858E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cargas de vento médio, vento máximo, vento pulsante,</w:t>
      </w: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em Rússia, IEC, UE e EUA.</w:t>
      </w: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6AF03520" w14:textId="77777777" w:rsidR="004858EC" w:rsidRPr="004858EC" w:rsidRDefault="004858EC" w:rsidP="004858E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Approaches</w:t>
      </w:r>
      <w:proofErr w:type="spellEnd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C…</w:t>
      </w:r>
    </w:p>
    <w:p w14:paraId="1C32EFC2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extremamente valioso para mostrar que:</w:t>
      </w:r>
    </w:p>
    <w:p w14:paraId="6924A4F0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fragilidade estrutural de uma LT depende diretamente da norma de projeto adotada.</w:t>
      </w:r>
    </w:p>
    <w:p w14:paraId="3DD8859F" w14:textId="77777777" w:rsidR="004858EC" w:rsidRPr="004858EC" w:rsidRDefault="004858EC" w:rsidP="004858E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5D5A2A0">
          <v:rect id="_x0000_i1029" style="width:0;height:1.5pt" o:hralign="center" o:hrstd="t" o:hr="t" fillcolor="#a0a0a0" stroked="f"/>
        </w:pict>
      </w:r>
    </w:p>
    <w:p w14:paraId="368AF6F5" w14:textId="77777777" w:rsidR="004858EC" w:rsidRPr="004858EC" w:rsidRDefault="004858EC" w:rsidP="004858E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858E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2.4 Períodos de recorrência (</w:t>
      </w:r>
      <w:proofErr w:type="spellStart"/>
      <w:r w:rsidRPr="004858E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repeatability</w:t>
      </w:r>
      <w:proofErr w:type="spellEnd"/>
      <w:r w:rsidRPr="004858E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4858E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periods</w:t>
      </w:r>
      <w:proofErr w:type="spellEnd"/>
      <w:r w:rsidRPr="004858E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)</w:t>
      </w:r>
    </w:p>
    <w:p w14:paraId="0C30F8D0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Tabela III (pág. 4) mostra: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1622"/>
      </w:tblGrid>
      <w:tr w:rsidR="004858EC" w:rsidRPr="004858EC" w14:paraId="006850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5F4F1" w14:textId="77777777" w:rsidR="004858EC" w:rsidRPr="004858EC" w:rsidRDefault="004858EC" w:rsidP="004858E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858E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Região</w:t>
            </w:r>
          </w:p>
        </w:tc>
        <w:tc>
          <w:tcPr>
            <w:tcW w:w="0" w:type="auto"/>
            <w:vAlign w:val="center"/>
            <w:hideMark/>
          </w:tcPr>
          <w:p w14:paraId="3E528FED" w14:textId="77777777" w:rsidR="004858EC" w:rsidRPr="004858EC" w:rsidRDefault="004858EC" w:rsidP="004858E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858E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Período típico</w:t>
            </w:r>
          </w:p>
        </w:tc>
      </w:tr>
      <w:tr w:rsidR="004858EC" w:rsidRPr="004858EC" w14:paraId="46A9B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0191E" w14:textId="77777777" w:rsidR="004858EC" w:rsidRPr="004858EC" w:rsidRDefault="004858EC" w:rsidP="004858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858E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Rússia</w:t>
            </w:r>
          </w:p>
        </w:tc>
        <w:tc>
          <w:tcPr>
            <w:tcW w:w="0" w:type="auto"/>
            <w:vAlign w:val="center"/>
            <w:hideMark/>
          </w:tcPr>
          <w:p w14:paraId="62007588" w14:textId="77777777" w:rsidR="004858EC" w:rsidRPr="004858EC" w:rsidRDefault="004858EC" w:rsidP="004858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858E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25 anos</w:t>
            </w:r>
          </w:p>
        </w:tc>
      </w:tr>
      <w:tr w:rsidR="004858EC" w:rsidRPr="004858EC" w14:paraId="47889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52B10" w14:textId="77777777" w:rsidR="004858EC" w:rsidRPr="004858EC" w:rsidRDefault="004858EC" w:rsidP="004858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858E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IEC / UE / EUA</w:t>
            </w:r>
          </w:p>
        </w:tc>
        <w:tc>
          <w:tcPr>
            <w:tcW w:w="0" w:type="auto"/>
            <w:vAlign w:val="center"/>
            <w:hideMark/>
          </w:tcPr>
          <w:p w14:paraId="70820862" w14:textId="77777777" w:rsidR="004858EC" w:rsidRPr="004858EC" w:rsidRDefault="004858EC" w:rsidP="004858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858E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mínimo 50 anos</w:t>
            </w:r>
          </w:p>
        </w:tc>
      </w:tr>
      <w:tr w:rsidR="004858EC" w:rsidRPr="004858EC" w14:paraId="658B4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B0E2B" w14:textId="77777777" w:rsidR="004858EC" w:rsidRPr="004858EC" w:rsidRDefault="004858EC" w:rsidP="004858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858E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CIGRE (para linhas críticas)</w:t>
            </w:r>
          </w:p>
        </w:tc>
        <w:tc>
          <w:tcPr>
            <w:tcW w:w="0" w:type="auto"/>
            <w:vAlign w:val="center"/>
            <w:hideMark/>
          </w:tcPr>
          <w:p w14:paraId="035B6DAD" w14:textId="77777777" w:rsidR="004858EC" w:rsidRPr="004858EC" w:rsidRDefault="004858EC" w:rsidP="004858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858E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até 150 anos</w:t>
            </w:r>
          </w:p>
        </w:tc>
      </w:tr>
    </w:tbl>
    <w:p w14:paraId="2B679CB4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Approaches</w:t>
      </w:r>
      <w:proofErr w:type="spellEnd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C…</w:t>
      </w:r>
    </w:p>
    <w:p w14:paraId="40F363F5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Conclusão direta dos autores:</w:t>
      </w:r>
    </w:p>
    <w:p w14:paraId="544E7B2E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aumentar o período de recorrência reduz drasticamente a probabilidade de falhas climáticas.</w:t>
      </w:r>
    </w:p>
    <w:p w14:paraId="61D870FF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praticamente uma </w:t>
      </w:r>
      <w:r w:rsidRPr="004858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definição normativa de resiliência estrutural</w:t>
      </w: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773C5F2" w14:textId="77777777" w:rsidR="004858EC" w:rsidRPr="004858EC" w:rsidRDefault="004858EC" w:rsidP="004858E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FCC9B02">
          <v:rect id="_x0000_i1030" style="width:0;height:1.5pt" o:hralign="center" o:hrstd="t" o:hr="t" fillcolor="#a0a0a0" stroked="f"/>
        </w:pict>
      </w:r>
    </w:p>
    <w:p w14:paraId="3F7DB08D" w14:textId="77777777" w:rsidR="004858EC" w:rsidRPr="004858EC" w:rsidRDefault="004858EC" w:rsidP="004858E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858E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Classificação do terreno e exposição ao vento</w:t>
      </w:r>
    </w:p>
    <w:p w14:paraId="53EAF0AE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Tabela IV (pág. 4) compara categorias de terreno:</w:t>
      </w:r>
    </w:p>
    <w:p w14:paraId="77202CC8" w14:textId="77777777" w:rsidR="004858EC" w:rsidRPr="004858EC" w:rsidRDefault="004858EC" w:rsidP="004858E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áreas costeiras,</w:t>
      </w:r>
    </w:p>
    <w:p w14:paraId="2862F23D" w14:textId="77777777" w:rsidR="004858EC" w:rsidRPr="004858EC" w:rsidRDefault="004858EC" w:rsidP="004858E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áreas abertas,</w:t>
      </w:r>
    </w:p>
    <w:p w14:paraId="76F3D21E" w14:textId="77777777" w:rsidR="004858EC" w:rsidRPr="004858EC" w:rsidRDefault="004858EC" w:rsidP="004858E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áreas urbanas,</w:t>
      </w:r>
    </w:p>
    <w:p w14:paraId="02D0BF70" w14:textId="77777777" w:rsidR="004858EC" w:rsidRPr="004858EC" w:rsidRDefault="004858EC" w:rsidP="004858E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florestas,</w:t>
      </w:r>
    </w:p>
    <w:p w14:paraId="1D4CECF4" w14:textId="77777777" w:rsidR="004858EC" w:rsidRPr="004858EC" w:rsidRDefault="004858EC" w:rsidP="004858E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regiões montanhosas,</w:t>
      </w:r>
    </w:p>
    <w:p w14:paraId="2B2B0823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como cada norma ajusta os coeficientes de vento.</w:t>
      </w: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2CE3F9BD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Approaches</w:t>
      </w:r>
      <w:proofErr w:type="spellEnd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C…</w:t>
      </w:r>
    </w:p>
    <w:p w14:paraId="40F08507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essencial para modelar a </w:t>
      </w:r>
      <w:r w:rsidRPr="004858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vulnerabilidade espacial das LT</w:t>
      </w: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62C2E50" w14:textId="77777777" w:rsidR="004858EC" w:rsidRPr="004858EC" w:rsidRDefault="004858EC" w:rsidP="004858E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7636F1F">
          <v:rect id="_x0000_i1031" style="width:0;height:1.5pt" o:hralign="center" o:hrstd="t" o:hr="t" fillcolor="#a0a0a0" stroked="f"/>
        </w:pict>
      </w:r>
    </w:p>
    <w:p w14:paraId="47F9ABEC" w14:textId="77777777" w:rsidR="004858EC" w:rsidRPr="004858EC" w:rsidRDefault="004858EC" w:rsidP="004858E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858E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2.6 Crítica técnica às normas russas</w:t>
      </w:r>
    </w:p>
    <w:p w14:paraId="5045560C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Discussão (pág. 4–5), os autores afirmam que:</w:t>
      </w:r>
    </w:p>
    <w:p w14:paraId="0F02F7FC" w14:textId="77777777" w:rsidR="004858EC" w:rsidRPr="004858EC" w:rsidRDefault="004858EC" w:rsidP="004858E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mapas climáticos russos estão desatualizados (alguns desde 2003 ou baseados em 1961–1990);</w:t>
      </w:r>
    </w:p>
    <w:p w14:paraId="7FF0280E" w14:textId="77777777" w:rsidR="004858EC" w:rsidRPr="004858EC" w:rsidRDefault="004858EC" w:rsidP="004858E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coeficientes são essencialmente determinísticos;</w:t>
      </w:r>
    </w:p>
    <w:p w14:paraId="3B3D930D" w14:textId="77777777" w:rsidR="004858EC" w:rsidRPr="004858EC" w:rsidRDefault="004858EC" w:rsidP="004858E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controle explícito do risco residual.</w:t>
      </w:r>
    </w:p>
    <w:p w14:paraId="443F3E34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Enquanto isso, normas IEC/EN/NESC usam:</w:t>
      </w:r>
    </w:p>
    <w:p w14:paraId="49421A9F" w14:textId="77777777" w:rsidR="004858EC" w:rsidRPr="004858EC" w:rsidRDefault="004858EC" w:rsidP="004858E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abordagens probabilísticas,</w:t>
      </w:r>
    </w:p>
    <w:p w14:paraId="0804156A" w14:textId="77777777" w:rsidR="004858EC" w:rsidRPr="004858EC" w:rsidRDefault="004858EC" w:rsidP="004858E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níveis de confiabilidade ajustáveis,</w:t>
      </w:r>
    </w:p>
    <w:p w14:paraId="1FB63A35" w14:textId="77777777" w:rsidR="004858EC" w:rsidRPr="004858EC" w:rsidRDefault="004858EC" w:rsidP="004858E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margens de segurança calibradas por risco.</w:t>
      </w: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2CE3CDA9" w14:textId="77777777" w:rsidR="004858EC" w:rsidRPr="004858EC" w:rsidRDefault="004858EC" w:rsidP="004858E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Approaches</w:t>
      </w:r>
      <w:proofErr w:type="spellEnd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C…</w:t>
      </w:r>
    </w:p>
    <w:p w14:paraId="3A558E08" w14:textId="77777777" w:rsidR="004858EC" w:rsidRPr="004858EC" w:rsidRDefault="004858EC" w:rsidP="004858E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CAAD879">
          <v:rect id="_x0000_i1032" style="width:0;height:1.5pt" o:hralign="center" o:hrstd="t" o:hr="t" fillcolor="#a0a0a0" stroked="f"/>
        </w:pict>
      </w:r>
    </w:p>
    <w:p w14:paraId="7F36A73D" w14:textId="77777777" w:rsidR="004858EC" w:rsidRPr="004858EC" w:rsidRDefault="004858EC" w:rsidP="004858E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858E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face à sua tese</w:t>
      </w:r>
    </w:p>
    <w:p w14:paraId="6EBAC34C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não:</w:t>
      </w:r>
    </w:p>
    <w:p w14:paraId="0DE3296F" w14:textId="77777777" w:rsidR="004858EC" w:rsidRPr="004858EC" w:rsidRDefault="004858EC" w:rsidP="004858E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calcula curvas de fragilidade explícitas,</w:t>
      </w:r>
    </w:p>
    <w:p w14:paraId="5EB92D50" w14:textId="77777777" w:rsidR="004858EC" w:rsidRPr="004858EC" w:rsidRDefault="004858EC" w:rsidP="004858E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apresenta funções de estado limite,</w:t>
      </w:r>
    </w:p>
    <w:p w14:paraId="010C336D" w14:textId="77777777" w:rsidR="004858EC" w:rsidRPr="004858EC" w:rsidRDefault="004858EC" w:rsidP="004858E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faz simulação mecânica detalhada de torres/condutores,</w:t>
      </w:r>
    </w:p>
    <w:p w14:paraId="4C1D9C83" w14:textId="77777777" w:rsidR="004858EC" w:rsidRPr="004858EC" w:rsidRDefault="004858EC" w:rsidP="004858E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define índices quantitativos de resiliência.</w:t>
      </w:r>
    </w:p>
    <w:p w14:paraId="270A251C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fornece a </w:t>
      </w:r>
      <w:r w:rsidRPr="004858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normativa e conceitual</w:t>
      </w: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 modelagem matemática.</w:t>
      </w:r>
    </w:p>
    <w:p w14:paraId="4B3E681B" w14:textId="77777777" w:rsidR="004858EC" w:rsidRPr="004858EC" w:rsidRDefault="004858EC" w:rsidP="004858E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13F561F">
          <v:rect id="_x0000_i1033" style="width:0;height:1.5pt" o:hralign="center" o:hrstd="t" o:hr="t" fillcolor="#a0a0a0" stroked="f"/>
        </w:pict>
      </w:r>
    </w:p>
    <w:p w14:paraId="342CB1D8" w14:textId="77777777" w:rsidR="004858EC" w:rsidRPr="004858EC" w:rsidRDefault="004858EC" w:rsidP="004858E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858E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31AF83BC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4858E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  <w:gridCol w:w="3030"/>
      </w:tblGrid>
      <w:tr w:rsidR="004858EC" w:rsidRPr="004858EC" w14:paraId="3D9AF9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D9C16" w14:textId="77777777" w:rsidR="004858EC" w:rsidRPr="004858EC" w:rsidRDefault="004858EC" w:rsidP="004858E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858E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339DB32" w14:textId="77777777" w:rsidR="004858EC" w:rsidRPr="004858EC" w:rsidRDefault="004858EC" w:rsidP="004858E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858E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4858EC" w:rsidRPr="004858EC" w14:paraId="3F9E7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14271" w14:textId="77777777" w:rsidR="004858EC" w:rsidRPr="004858EC" w:rsidRDefault="004858EC" w:rsidP="004858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858E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reais</w:t>
            </w:r>
          </w:p>
        </w:tc>
        <w:tc>
          <w:tcPr>
            <w:tcW w:w="0" w:type="auto"/>
            <w:vAlign w:val="center"/>
            <w:hideMark/>
          </w:tcPr>
          <w:p w14:paraId="7D0EE61A" w14:textId="77777777" w:rsidR="004858EC" w:rsidRPr="004858EC" w:rsidRDefault="004858EC" w:rsidP="004858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858E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4858EC" w:rsidRPr="004858EC" w14:paraId="75294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32E72" w14:textId="77777777" w:rsidR="004858EC" w:rsidRPr="004858EC" w:rsidRDefault="004858EC" w:rsidP="004858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858E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estrutural</w:t>
            </w:r>
          </w:p>
        </w:tc>
        <w:tc>
          <w:tcPr>
            <w:tcW w:w="0" w:type="auto"/>
            <w:vAlign w:val="center"/>
            <w:hideMark/>
          </w:tcPr>
          <w:p w14:paraId="1E09B31E" w14:textId="77777777" w:rsidR="004858EC" w:rsidRPr="004858EC" w:rsidRDefault="004858EC" w:rsidP="004858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858E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858E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(implícita via normas)</w:t>
            </w:r>
          </w:p>
        </w:tc>
      </w:tr>
      <w:tr w:rsidR="004858EC" w:rsidRPr="004858EC" w14:paraId="3292C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9CFAE" w14:textId="77777777" w:rsidR="004858EC" w:rsidRPr="004858EC" w:rsidRDefault="004858EC" w:rsidP="004858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858E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de torres/condutores</w:t>
            </w:r>
          </w:p>
        </w:tc>
        <w:tc>
          <w:tcPr>
            <w:tcW w:w="0" w:type="auto"/>
            <w:vAlign w:val="center"/>
            <w:hideMark/>
          </w:tcPr>
          <w:p w14:paraId="18313389" w14:textId="77777777" w:rsidR="004858EC" w:rsidRPr="004858EC" w:rsidRDefault="004858EC" w:rsidP="004858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858E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4858E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(normativa, não mecânica)</w:t>
            </w:r>
          </w:p>
        </w:tc>
      </w:tr>
      <w:tr w:rsidR="004858EC" w:rsidRPr="004858EC" w14:paraId="1FCF7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6DBA7" w14:textId="77777777" w:rsidR="004858EC" w:rsidRPr="004858EC" w:rsidRDefault="004858EC" w:rsidP="004858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858E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</w:t>
            </w:r>
          </w:p>
        </w:tc>
        <w:tc>
          <w:tcPr>
            <w:tcW w:w="0" w:type="auto"/>
            <w:vAlign w:val="center"/>
            <w:hideMark/>
          </w:tcPr>
          <w:p w14:paraId="10657894" w14:textId="77777777" w:rsidR="004858EC" w:rsidRPr="004858EC" w:rsidRDefault="004858EC" w:rsidP="004858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858E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4858EC" w:rsidRPr="004858EC" w14:paraId="56477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220B6" w14:textId="77777777" w:rsidR="004858EC" w:rsidRPr="004858EC" w:rsidRDefault="004858EC" w:rsidP="004858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858E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767DE1AC" w14:textId="77777777" w:rsidR="004858EC" w:rsidRPr="004858EC" w:rsidRDefault="004858EC" w:rsidP="004858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858E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4858EC" w:rsidRPr="004858EC" w14:paraId="7EA6E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C27FC" w14:textId="77777777" w:rsidR="004858EC" w:rsidRPr="004858EC" w:rsidRDefault="004858EC" w:rsidP="004858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858E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Projeto resiliente</w:t>
            </w:r>
          </w:p>
        </w:tc>
        <w:tc>
          <w:tcPr>
            <w:tcW w:w="0" w:type="auto"/>
            <w:vAlign w:val="center"/>
            <w:hideMark/>
          </w:tcPr>
          <w:p w14:paraId="51F6A864" w14:textId="77777777" w:rsidR="004858EC" w:rsidRPr="004858EC" w:rsidRDefault="004858EC" w:rsidP="004858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858E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4858EC" w:rsidRPr="004858EC" w14:paraId="4D0C4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35A4A" w14:textId="77777777" w:rsidR="004858EC" w:rsidRPr="004858EC" w:rsidRDefault="004858EC" w:rsidP="004858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858E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normativa da resiliência</w:t>
            </w:r>
          </w:p>
        </w:tc>
        <w:tc>
          <w:tcPr>
            <w:tcW w:w="0" w:type="auto"/>
            <w:vAlign w:val="center"/>
            <w:hideMark/>
          </w:tcPr>
          <w:p w14:paraId="09DBB71B" w14:textId="77777777" w:rsidR="004858EC" w:rsidRPr="004858EC" w:rsidRDefault="004858EC" w:rsidP="004858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858E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6A416763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temática: </w:t>
      </w:r>
      <w:r w:rsidRPr="004858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4858E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matemática: </w:t>
      </w:r>
      <w:r w:rsidRPr="004858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</w:t>
      </w:r>
    </w:p>
    <w:p w14:paraId="6A28285D" w14:textId="77777777" w:rsidR="004858EC" w:rsidRPr="004858EC" w:rsidRDefault="004858EC" w:rsidP="004858E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5D7DDFE">
          <v:rect id="_x0000_i1034" style="width:0;height:1.5pt" o:hralign="center" o:hrstd="t" o:hr="t" fillcolor="#a0a0a0" stroked="f"/>
        </w:pict>
      </w:r>
    </w:p>
    <w:p w14:paraId="21A16B1A" w14:textId="77777777" w:rsidR="004858EC" w:rsidRPr="004858EC" w:rsidRDefault="004858EC" w:rsidP="004858E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858E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48968CD3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ideal para:</w:t>
      </w:r>
    </w:p>
    <w:p w14:paraId="52A56653" w14:textId="77777777" w:rsidR="004858EC" w:rsidRPr="004858EC" w:rsidRDefault="004858EC" w:rsidP="004858E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por que a resiliência começa no </w:t>
      </w:r>
      <w:r w:rsidRPr="004858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projeto estrutural</w:t>
      </w: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E5358AB" w14:textId="77777777" w:rsidR="004858EC" w:rsidRPr="004858EC" w:rsidRDefault="004858EC" w:rsidP="004858E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mostrar que resiliência ≠ apenas operação, mas também </w:t>
      </w:r>
      <w:r w:rsidRPr="004858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norma de engenharia</w:t>
      </w: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E7D5BC8" w14:textId="77777777" w:rsidR="004858EC" w:rsidRPr="004858EC" w:rsidRDefault="004858EC" w:rsidP="004858E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 a escolha de:</w:t>
      </w:r>
    </w:p>
    <w:p w14:paraId="3A36E252" w14:textId="77777777" w:rsidR="004858EC" w:rsidRPr="004858EC" w:rsidRDefault="004858EC" w:rsidP="004858EC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períodos de retorno (50, 100, 150 anos),</w:t>
      </w:r>
    </w:p>
    <w:p w14:paraId="66953562" w14:textId="77777777" w:rsidR="004858EC" w:rsidRPr="004858EC" w:rsidRDefault="004858EC" w:rsidP="004858EC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coeficientes de confiabilidade,</w:t>
      </w:r>
    </w:p>
    <w:p w14:paraId="052DE964" w14:textId="77777777" w:rsidR="004858EC" w:rsidRPr="004858EC" w:rsidRDefault="004858EC" w:rsidP="004858EC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necessidade de abordagens probabilísticas;</w:t>
      </w:r>
    </w:p>
    <w:p w14:paraId="4D5F4D50" w14:textId="77777777" w:rsidR="004858EC" w:rsidRPr="004858EC" w:rsidRDefault="004858EC" w:rsidP="004858E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ligar diretamente:</w:t>
      </w:r>
    </w:p>
    <w:p w14:paraId="5C25C170" w14:textId="77777777" w:rsidR="004858EC" w:rsidRPr="004858EC" w:rsidRDefault="004858EC" w:rsidP="004858E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→ norma → carga → falha estrutural → resiliência.</w:t>
      </w:r>
    </w:p>
    <w:p w14:paraId="2F7ADB8D" w14:textId="77777777" w:rsidR="004858EC" w:rsidRPr="004858EC" w:rsidRDefault="004858EC" w:rsidP="004858E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56C4758">
          <v:rect id="_x0000_i1035" style="width:0;height:1.5pt" o:hralign="center" o:hrstd="t" o:hr="t" fillcolor="#a0a0a0" stroked="f"/>
        </w:pict>
      </w:r>
    </w:p>
    <w:p w14:paraId="17457F5A" w14:textId="77777777" w:rsidR="004858EC" w:rsidRPr="004858EC" w:rsidRDefault="004858EC" w:rsidP="004858E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858E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60334BFA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858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(núcleo conceitual-normativo da tese)</w:t>
      </w:r>
    </w:p>
    <w:p w14:paraId="2AF69D13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É um dos raros artigos que liga diretamente:</w:t>
      </w:r>
    </w:p>
    <w:p w14:paraId="51F4A0EB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+ norma de projeto + confiabilidade estrutural das linhas</w:t>
      </w: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0CE27FF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este tipo de referência, a sua tese ficaria fisicamente correta, mas normativamente desconectada da prática real de engenharia.</w:t>
      </w:r>
    </w:p>
    <w:p w14:paraId="6FE12632" w14:textId="77777777" w:rsidR="004858EC" w:rsidRPr="004858EC" w:rsidRDefault="004858EC" w:rsidP="004858E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5F9CE4A">
          <v:rect id="_x0000_i1036" style="width:0;height:1.5pt" o:hralign="center" o:hrstd="t" o:hr="t" fillcolor="#a0a0a0" stroked="f"/>
        </w:pict>
      </w:r>
    </w:p>
    <w:p w14:paraId="2B832DB9" w14:textId="77777777" w:rsidR="004858EC" w:rsidRPr="004858EC" w:rsidRDefault="004858EC" w:rsidP="004858E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858E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627DD8DD" w14:textId="77777777" w:rsidR="004858EC" w:rsidRPr="004858EC" w:rsidRDefault="004858EC" w:rsidP="004858E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0F57B24" w14:textId="77777777" w:rsidR="004858EC" w:rsidRPr="004858EC" w:rsidRDefault="004858EC" w:rsidP="004858E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Avaliação normativa da influência climática no projeto estrutural de linhas aéreas de transmissão</w:t>
      </w:r>
    </w:p>
    <w:p w14:paraId="3481DA49" w14:textId="77777777" w:rsidR="004858EC" w:rsidRPr="004858EC" w:rsidRDefault="004858EC" w:rsidP="004858E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858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74A003EC" w14:textId="77777777" w:rsidR="004858EC" w:rsidRPr="004858EC" w:rsidRDefault="004858EC" w:rsidP="004858E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39C37A08" w14:textId="77777777" w:rsidR="004858EC" w:rsidRPr="004858EC" w:rsidRDefault="004858EC" w:rsidP="004858EC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1B2D6425" w14:textId="77777777" w:rsidR="004858EC" w:rsidRPr="004858EC" w:rsidRDefault="004858EC" w:rsidP="004858EC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37678DBF" w14:textId="77777777" w:rsidR="004858EC" w:rsidRPr="004858EC" w:rsidRDefault="004858EC" w:rsidP="004858EC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1AB5BBF8" w14:textId="77777777" w:rsidR="004858EC" w:rsidRPr="004858EC" w:rsidRDefault="004858EC" w:rsidP="004858EC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das linhas de transmissão</w:t>
      </w:r>
    </w:p>
    <w:p w14:paraId="48F8DBEE" w14:textId="77777777" w:rsidR="004858EC" w:rsidRPr="004858EC" w:rsidRDefault="004858EC" w:rsidP="004858EC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 (ausência de métricas probabilísticas explícitas nas normas)</w:t>
      </w:r>
    </w:p>
    <w:p w14:paraId="0E1A1434" w14:textId="77777777" w:rsidR="004858EC" w:rsidRPr="004858EC" w:rsidRDefault="004858EC" w:rsidP="004858E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858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1985C118" w14:textId="77777777" w:rsidR="004858EC" w:rsidRPr="004858EC" w:rsidRDefault="004858EC" w:rsidP="004858E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B6BC61F">
          <v:rect id="_x0000_i1037" style="width:0;height:1.5pt" o:hralign="center" o:hrstd="t" o:hr="t" fillcolor="#a0a0a0" stroked="f"/>
        </w:pict>
      </w:r>
    </w:p>
    <w:p w14:paraId="3B4D8405" w14:textId="77777777" w:rsidR="004858EC" w:rsidRPr="004858EC" w:rsidRDefault="004858EC" w:rsidP="004858E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858E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📌</w:t>
      </w:r>
      <w:r w:rsidRPr="004858E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Síntese final</w:t>
      </w:r>
    </w:p>
    <w:p w14:paraId="27CE868A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mostra que a resiliência das linhas de transmissão </w:t>
      </w:r>
      <w:r w:rsidRPr="004858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começa no despacho ou na proteção</w:t>
      </w: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Ela começa:</w:t>
      </w:r>
    </w:p>
    <w:p w14:paraId="390C23FD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no código de projeto,</w:t>
      </w: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no período de retorno adotado,</w:t>
      </w: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no coeficiente de vento e gelo,</w:t>
      </w: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 na filosofia de risco implícita da norma.</w:t>
      </w:r>
    </w:p>
    <w:p w14:paraId="21CD822B" w14:textId="77777777" w:rsidR="004858EC" w:rsidRPr="004858EC" w:rsidRDefault="004858EC" w:rsidP="004858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é uma peça-chave para dar </w:t>
      </w:r>
      <w:r w:rsidRPr="004858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autoridade técnica e regulatória</w:t>
      </w:r>
      <w:r w:rsidRPr="004858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à sua tese.</w:t>
      </w:r>
    </w:p>
    <w:p w14:paraId="427C6B0E" w14:textId="77777777" w:rsidR="00AE6A55" w:rsidRPr="004858EC" w:rsidRDefault="00AE6A55"/>
    <w:sectPr w:rsidR="00AE6A55" w:rsidRPr="004858EC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7534"/>
    <w:multiLevelType w:val="multilevel"/>
    <w:tmpl w:val="4918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1111A"/>
    <w:multiLevelType w:val="multilevel"/>
    <w:tmpl w:val="76B6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3420F"/>
    <w:multiLevelType w:val="multilevel"/>
    <w:tmpl w:val="1436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471F8"/>
    <w:multiLevelType w:val="multilevel"/>
    <w:tmpl w:val="EC46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469D1"/>
    <w:multiLevelType w:val="multilevel"/>
    <w:tmpl w:val="6B7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0235E"/>
    <w:multiLevelType w:val="multilevel"/>
    <w:tmpl w:val="09F6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B260F"/>
    <w:multiLevelType w:val="multilevel"/>
    <w:tmpl w:val="955A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117AC"/>
    <w:multiLevelType w:val="multilevel"/>
    <w:tmpl w:val="9E6E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235C2B"/>
    <w:multiLevelType w:val="multilevel"/>
    <w:tmpl w:val="2CA2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E14020"/>
    <w:multiLevelType w:val="multilevel"/>
    <w:tmpl w:val="8E84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626830">
    <w:abstractNumId w:val="8"/>
  </w:num>
  <w:num w:numId="2" w16cid:durableId="1750227568">
    <w:abstractNumId w:val="1"/>
  </w:num>
  <w:num w:numId="3" w16cid:durableId="1942834354">
    <w:abstractNumId w:val="4"/>
  </w:num>
  <w:num w:numId="4" w16cid:durableId="825779922">
    <w:abstractNumId w:val="0"/>
  </w:num>
  <w:num w:numId="5" w16cid:durableId="2080245641">
    <w:abstractNumId w:val="7"/>
  </w:num>
  <w:num w:numId="6" w16cid:durableId="428234441">
    <w:abstractNumId w:val="3"/>
  </w:num>
  <w:num w:numId="7" w16cid:durableId="1350254939">
    <w:abstractNumId w:val="2"/>
  </w:num>
  <w:num w:numId="8" w16cid:durableId="1742604939">
    <w:abstractNumId w:val="9"/>
  </w:num>
  <w:num w:numId="9" w16cid:durableId="843130720">
    <w:abstractNumId w:val="6"/>
  </w:num>
  <w:num w:numId="10" w16cid:durableId="6876839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55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858EC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AE6A55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B9D6C"/>
  <w15:chartTrackingRefBased/>
  <w15:docId w15:val="{C4DB0CDA-E293-4686-BC9A-B2197C243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A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A5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A5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A5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A5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A5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A5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A5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A5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A5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AE6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A5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AE6A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58E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4858EC"/>
    <w:rPr>
      <w:b/>
      <w:bCs/>
    </w:rPr>
  </w:style>
  <w:style w:type="character" w:styleId="Emphasis">
    <w:name w:val="Emphasis"/>
    <w:basedOn w:val="DefaultParagraphFont"/>
    <w:uiPriority w:val="20"/>
    <w:qFormat/>
    <w:rsid w:val="004858EC"/>
    <w:rPr>
      <w:i/>
      <w:iCs/>
    </w:rPr>
  </w:style>
  <w:style w:type="character" w:customStyle="1" w:styleId="relative">
    <w:name w:val="relative"/>
    <w:basedOn w:val="DefaultParagraphFont"/>
    <w:rsid w:val="004858EC"/>
  </w:style>
  <w:style w:type="paragraph" w:customStyle="1" w:styleId="not-prose">
    <w:name w:val="not-prose"/>
    <w:basedOn w:val="Normal"/>
    <w:rsid w:val="004858E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911</Words>
  <Characters>4921</Characters>
  <Application>Microsoft Office Word</Application>
  <DocSecurity>0</DocSecurity>
  <Lines>41</Lines>
  <Paragraphs>11</Paragraphs>
  <ScaleCrop>false</ScaleCrop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2026-01-11T16:08:00Z</dcterms:created>
  <dcterms:modified xsi:type="dcterms:W3CDTF">2026-01-11T16:09:00Z</dcterms:modified>
</cp:coreProperties>
</file>